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5EA30" w14:textId="77777777" w:rsidR="008B5E3A" w:rsidRDefault="008B5E3A" w:rsidP="00DA7665">
      <w:pPr>
        <w:spacing w:after="0"/>
      </w:pPr>
      <w:r>
        <w:rPr>
          <w:noProof/>
        </w:rPr>
        <w:drawing>
          <wp:inline distT="0" distB="0" distL="0" distR="0" wp14:anchorId="1EA5EA5B" wp14:editId="1EA5EA5C">
            <wp:extent cx="1576899" cy="329184"/>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575753" cy="328945"/>
                    </a:xfrm>
                    <a:prstGeom prst="rect">
                      <a:avLst/>
                    </a:prstGeom>
                  </pic:spPr>
                </pic:pic>
              </a:graphicData>
            </a:graphic>
          </wp:inline>
        </w:drawing>
      </w:r>
    </w:p>
    <w:p w14:paraId="1EA5EA31" w14:textId="77777777" w:rsidR="00DA7665" w:rsidRDefault="00DA7665" w:rsidP="00DA7665">
      <w:pPr>
        <w:spacing w:after="0"/>
      </w:pPr>
    </w:p>
    <w:p w14:paraId="23135B0B" w14:textId="48853344" w:rsidR="00653E94" w:rsidRPr="00653E94" w:rsidRDefault="00653E94" w:rsidP="00DA7665">
      <w:pPr>
        <w:spacing w:after="0"/>
        <w:rPr>
          <w:b/>
          <w:color w:val="FF0000"/>
          <w:u w:val="single"/>
        </w:rPr>
      </w:pPr>
      <w:r w:rsidRPr="00653E94">
        <w:rPr>
          <w:b/>
          <w:color w:val="FF0000"/>
          <w:u w:val="single"/>
        </w:rPr>
        <w:t>General/Business Questions</w:t>
      </w:r>
    </w:p>
    <w:p w14:paraId="1EA5EA32" w14:textId="5C0AC333" w:rsidR="008B5E3A" w:rsidRPr="00EA4EE9" w:rsidRDefault="008B5E3A" w:rsidP="00EA4EE9">
      <w:pPr>
        <w:spacing w:after="0" w:line="240" w:lineRule="auto"/>
        <w:rPr>
          <w:rFonts w:cstheme="minorHAnsi"/>
          <w:b/>
        </w:rPr>
      </w:pPr>
      <w:r w:rsidRPr="00EA4EE9">
        <w:rPr>
          <w:rFonts w:cstheme="minorHAnsi"/>
          <w:b/>
        </w:rPr>
        <w:t xml:space="preserve">Q:  Why is Lattice discontinuing </w:t>
      </w:r>
      <w:r w:rsidR="00EA4EE9" w:rsidRPr="00EA4EE9">
        <w:rPr>
          <w:rFonts w:cstheme="minorHAnsi"/>
          <w:b/>
        </w:rPr>
        <w:t>its SnPb OPN</w:t>
      </w:r>
      <w:r w:rsidR="009B2262" w:rsidRPr="00EA4EE9">
        <w:rPr>
          <w:rFonts w:cstheme="minorHAnsi"/>
          <w:b/>
        </w:rPr>
        <w:t>s and select mature families</w:t>
      </w:r>
      <w:r w:rsidR="00EA4EE9" w:rsidRPr="00EA4EE9">
        <w:rPr>
          <w:rFonts w:cstheme="minorHAnsi"/>
          <w:b/>
        </w:rPr>
        <w:t xml:space="preserve"> at this time</w:t>
      </w:r>
      <w:r w:rsidR="009B2262" w:rsidRPr="00EA4EE9">
        <w:rPr>
          <w:rFonts w:cstheme="minorHAnsi"/>
          <w:b/>
        </w:rPr>
        <w:t>?</w:t>
      </w:r>
    </w:p>
    <w:p w14:paraId="02E11C47" w14:textId="13F2C6E1" w:rsidR="00EA4EE9" w:rsidRPr="00EA4EE9" w:rsidRDefault="008B5E3A" w:rsidP="00EA4EE9">
      <w:pPr>
        <w:tabs>
          <w:tab w:val="left" w:pos="360"/>
          <w:tab w:val="left" w:pos="1080"/>
          <w:tab w:val="left" w:pos="1440"/>
          <w:tab w:val="left" w:pos="1800"/>
          <w:tab w:val="left" w:pos="2160"/>
          <w:tab w:val="left" w:pos="2520"/>
          <w:tab w:val="left" w:pos="2880"/>
          <w:tab w:val="left" w:pos="3240"/>
          <w:tab w:val="left" w:pos="3600"/>
        </w:tabs>
        <w:spacing w:after="0" w:line="240" w:lineRule="auto"/>
        <w:ind w:right="202"/>
        <w:jc w:val="both"/>
      </w:pPr>
      <w:r w:rsidRPr="00EA4EE9">
        <w:rPr>
          <w:rFonts w:cstheme="minorHAnsi"/>
          <w:b/>
        </w:rPr>
        <w:t>A:</w:t>
      </w:r>
      <w:r w:rsidRPr="00EA4EE9">
        <w:rPr>
          <w:rFonts w:cstheme="minorHAnsi"/>
        </w:rPr>
        <w:t xml:space="preserve"> </w:t>
      </w:r>
      <w:r w:rsidR="004F7096" w:rsidRPr="00EA4EE9">
        <w:rPr>
          <w:rFonts w:cstheme="minorHAnsi"/>
        </w:rPr>
        <w:t xml:space="preserve"> </w:t>
      </w:r>
      <w:r w:rsidR="00EA4EE9" w:rsidRPr="00EA4EE9">
        <w:t>Over the past 10 years, the semiconductor industry has substantially completed the transition from SnPb to Pb-Free package configurations.  Worldwide semiconductor demand for SnPb package configurations has now dropped below 5%.  Lattice is no longer able to economically sustain these SnPb package configurations.  In addition, there are a number of mature product families which are substantially comprised of SnPb package OPNs</w:t>
      </w:r>
      <w:r w:rsidR="00653E94">
        <w:t xml:space="preserve"> with diminishing overall customer demand</w:t>
      </w:r>
      <w:r w:rsidR="00EA4EE9" w:rsidRPr="00EA4EE9">
        <w:t>.  As such, Lattice will also be discontinuing these mature product families in their entirety.</w:t>
      </w:r>
      <w:r w:rsidR="00613259">
        <w:t xml:space="preserve">  With this discontinuance, all remaining Lattice products will be Pb-Free and/or Halogen-Free.</w:t>
      </w:r>
    </w:p>
    <w:p w14:paraId="358E80D4" w14:textId="77777777" w:rsidR="00EA4EE9" w:rsidRPr="00EA4EE9" w:rsidRDefault="00EA4EE9" w:rsidP="00EA4EE9">
      <w:pPr>
        <w:spacing w:after="0" w:line="240" w:lineRule="auto"/>
        <w:rPr>
          <w:rFonts w:cstheme="minorHAnsi"/>
        </w:rPr>
      </w:pPr>
    </w:p>
    <w:p w14:paraId="036E65EE" w14:textId="3278516A" w:rsidR="005C6F8C" w:rsidRPr="00EA4EE9" w:rsidRDefault="00EC31C1" w:rsidP="005C6F8C">
      <w:pPr>
        <w:spacing w:after="0" w:line="240" w:lineRule="auto"/>
        <w:rPr>
          <w:rFonts w:cstheme="minorHAnsi"/>
          <w:b/>
        </w:rPr>
      </w:pPr>
      <w:r>
        <w:rPr>
          <w:rFonts w:cstheme="minorHAnsi"/>
          <w:b/>
        </w:rPr>
        <w:t>Q: Is the</w:t>
      </w:r>
      <w:r w:rsidR="00A43CA8">
        <w:rPr>
          <w:rFonts w:cstheme="minorHAnsi"/>
          <w:b/>
        </w:rPr>
        <w:t xml:space="preserve"> </w:t>
      </w:r>
      <w:r w:rsidR="005C6F8C" w:rsidRPr="00EA4EE9">
        <w:rPr>
          <w:rFonts w:cstheme="minorHAnsi"/>
          <w:b/>
        </w:rPr>
        <w:t xml:space="preserve">Last Time Buy </w:t>
      </w:r>
      <w:r w:rsidR="005C6F8C">
        <w:rPr>
          <w:rFonts w:cstheme="minorHAnsi"/>
          <w:b/>
        </w:rPr>
        <w:t>(</w:t>
      </w:r>
      <w:r w:rsidR="005C6F8C" w:rsidRPr="00EA4EE9">
        <w:rPr>
          <w:rFonts w:cstheme="minorHAnsi"/>
          <w:b/>
        </w:rPr>
        <w:t>LTB</w:t>
      </w:r>
      <w:r w:rsidR="005C6F8C">
        <w:rPr>
          <w:rFonts w:cstheme="minorHAnsi"/>
          <w:b/>
        </w:rPr>
        <w:t>)</w:t>
      </w:r>
      <w:r w:rsidR="005C6F8C" w:rsidRPr="00EA4EE9">
        <w:rPr>
          <w:rFonts w:cstheme="minorHAnsi"/>
          <w:b/>
        </w:rPr>
        <w:t xml:space="preserve"> date firm?</w:t>
      </w:r>
    </w:p>
    <w:p w14:paraId="3D490559" w14:textId="5F939C9E" w:rsidR="005C6F8C" w:rsidRDefault="005C6F8C" w:rsidP="005C6F8C">
      <w:pPr>
        <w:spacing w:line="240" w:lineRule="auto"/>
        <w:rPr>
          <w:rFonts w:cstheme="minorHAnsi"/>
        </w:rPr>
      </w:pPr>
      <w:r w:rsidRPr="00EA4EE9">
        <w:rPr>
          <w:rFonts w:cstheme="minorHAnsi"/>
          <w:b/>
        </w:rPr>
        <w:t>A:</w:t>
      </w:r>
      <w:r w:rsidRPr="00EA4EE9">
        <w:rPr>
          <w:rFonts w:cstheme="minorHAnsi"/>
        </w:rPr>
        <w:t xml:space="preserve">  Yes</w:t>
      </w:r>
      <w:r w:rsidR="00E02617">
        <w:rPr>
          <w:rFonts w:cstheme="minorHAnsi"/>
        </w:rPr>
        <w:t xml:space="preserve">, the LTB date </w:t>
      </w:r>
      <w:r w:rsidR="00A43CA8">
        <w:rPr>
          <w:rFonts w:cstheme="minorHAnsi"/>
        </w:rPr>
        <w:t>is firm</w:t>
      </w:r>
      <w:r w:rsidRPr="00EA4EE9">
        <w:rPr>
          <w:rFonts w:cstheme="minorHAnsi"/>
        </w:rPr>
        <w:t>.  In order to guarantee supply of the</w:t>
      </w:r>
      <w:r w:rsidR="00E02617">
        <w:rPr>
          <w:rFonts w:cstheme="minorHAnsi"/>
        </w:rPr>
        <w:t>se</w:t>
      </w:r>
      <w:r w:rsidRPr="00EA4EE9">
        <w:rPr>
          <w:rFonts w:cstheme="minorHAnsi"/>
        </w:rPr>
        <w:t xml:space="preserve"> products, customers must place their orders by the LTB date as stated in the PCN.  </w:t>
      </w:r>
      <w:r w:rsidR="00613259">
        <w:rPr>
          <w:rFonts w:cstheme="minorHAnsi"/>
        </w:rPr>
        <w:t>L</w:t>
      </w:r>
      <w:r w:rsidRPr="00EA4EE9">
        <w:rPr>
          <w:rFonts w:cstheme="minorHAnsi"/>
        </w:rPr>
        <w:t xml:space="preserve">attice cannot guarantee order acceptance </w:t>
      </w:r>
      <w:r w:rsidR="00653E94">
        <w:rPr>
          <w:rFonts w:cstheme="minorHAnsi"/>
        </w:rPr>
        <w:t xml:space="preserve">or historical pricing </w:t>
      </w:r>
      <w:r w:rsidRPr="00EA4EE9">
        <w:rPr>
          <w:rFonts w:cstheme="minorHAnsi"/>
        </w:rPr>
        <w:t xml:space="preserve">after the LTB date. </w:t>
      </w:r>
    </w:p>
    <w:p w14:paraId="1EA5EA3A" w14:textId="43FF7033" w:rsidR="00C03BF9" w:rsidRPr="00EA4EE9" w:rsidRDefault="00C03BF9" w:rsidP="00EA4EE9">
      <w:pPr>
        <w:spacing w:after="0" w:line="240" w:lineRule="auto"/>
        <w:rPr>
          <w:rFonts w:cstheme="minorHAnsi"/>
          <w:b/>
        </w:rPr>
      </w:pPr>
      <w:r w:rsidRPr="00EA4EE9">
        <w:rPr>
          <w:rFonts w:cstheme="minorHAnsi"/>
          <w:b/>
        </w:rPr>
        <w:t xml:space="preserve">Q:  At what point in the future will customers no longer be able to place POs for </w:t>
      </w:r>
      <w:r w:rsidR="009B2262" w:rsidRPr="00EA4EE9">
        <w:rPr>
          <w:rFonts w:cstheme="minorHAnsi"/>
          <w:b/>
        </w:rPr>
        <w:t>these discontinued products?</w:t>
      </w:r>
    </w:p>
    <w:p w14:paraId="1EA5EA3B" w14:textId="6F59EA1D" w:rsidR="00C03BF9" w:rsidRPr="00EA4EE9" w:rsidRDefault="00C03BF9" w:rsidP="00EA4EE9">
      <w:pPr>
        <w:spacing w:after="0" w:line="240" w:lineRule="auto"/>
        <w:rPr>
          <w:rFonts w:cstheme="minorHAnsi"/>
        </w:rPr>
      </w:pPr>
      <w:r w:rsidRPr="00EA4EE9">
        <w:rPr>
          <w:rFonts w:cstheme="minorHAnsi"/>
          <w:b/>
        </w:rPr>
        <w:t>A:</w:t>
      </w:r>
      <w:r w:rsidRPr="00EA4EE9">
        <w:rPr>
          <w:rFonts w:cstheme="minorHAnsi"/>
        </w:rPr>
        <w:t xml:space="preserve">  </w:t>
      </w:r>
      <w:r w:rsidR="00A43CA8">
        <w:rPr>
          <w:rFonts w:cstheme="minorHAnsi"/>
        </w:rPr>
        <w:t xml:space="preserve">Lattice will accept </w:t>
      </w:r>
      <w:r w:rsidR="00D86251">
        <w:rPr>
          <w:rFonts w:cstheme="minorHAnsi"/>
        </w:rPr>
        <w:t xml:space="preserve">all </w:t>
      </w:r>
      <w:r w:rsidR="00A43CA8">
        <w:rPr>
          <w:rFonts w:cstheme="minorHAnsi"/>
        </w:rPr>
        <w:t xml:space="preserve">LTB orders at </w:t>
      </w:r>
      <w:r w:rsidR="00613259">
        <w:rPr>
          <w:rFonts w:cstheme="minorHAnsi"/>
        </w:rPr>
        <w:t>current</w:t>
      </w:r>
      <w:r w:rsidR="00A43CA8">
        <w:rPr>
          <w:rFonts w:cstheme="minorHAnsi"/>
        </w:rPr>
        <w:t xml:space="preserve"> pricing until the LTB date </w:t>
      </w:r>
      <w:r w:rsidR="00E02617">
        <w:rPr>
          <w:rFonts w:cstheme="minorHAnsi"/>
        </w:rPr>
        <w:t>stated in the PCN</w:t>
      </w:r>
      <w:r w:rsidR="00A43CA8">
        <w:rPr>
          <w:rFonts w:cstheme="minorHAnsi"/>
        </w:rPr>
        <w:t>.  Lattice will continue to accept orders after the LTB date on a “commercially best effort</w:t>
      </w:r>
      <w:r w:rsidR="00E02617">
        <w:rPr>
          <w:rFonts w:cstheme="minorHAnsi"/>
        </w:rPr>
        <w:t>”</w:t>
      </w:r>
      <w:r w:rsidR="00A43CA8">
        <w:rPr>
          <w:rFonts w:cstheme="minorHAnsi"/>
        </w:rPr>
        <w:t xml:space="preserve"> basis.  There may be limitations on the quantity that can be supported or on the pricing that can be accepted</w:t>
      </w:r>
      <w:r w:rsidR="00D86251">
        <w:rPr>
          <w:rFonts w:cstheme="minorHAnsi"/>
        </w:rPr>
        <w:t xml:space="preserve"> for orders received after the LTB date</w:t>
      </w:r>
      <w:r w:rsidR="00A43CA8">
        <w:rPr>
          <w:rFonts w:cstheme="minorHAnsi"/>
        </w:rPr>
        <w:t xml:space="preserve">. </w:t>
      </w:r>
      <w:r w:rsidR="00CB6322">
        <w:rPr>
          <w:rFonts w:cstheme="minorHAnsi"/>
        </w:rPr>
        <w:t>All orders are non-cancelable and non-returnable.</w:t>
      </w:r>
    </w:p>
    <w:p w14:paraId="1EA5EA3F" w14:textId="77777777" w:rsidR="00DD1A6E" w:rsidRPr="00EA4EE9" w:rsidRDefault="00DD1A6E" w:rsidP="00EA4EE9">
      <w:pPr>
        <w:spacing w:after="0" w:line="240" w:lineRule="auto"/>
        <w:rPr>
          <w:rFonts w:cstheme="minorHAnsi"/>
        </w:rPr>
      </w:pPr>
    </w:p>
    <w:p w14:paraId="55D3FF2D" w14:textId="77777777" w:rsidR="00731DF7" w:rsidRPr="00D86251" w:rsidRDefault="00731DF7" w:rsidP="00731DF7">
      <w:pPr>
        <w:spacing w:after="0" w:line="240" w:lineRule="auto"/>
        <w:rPr>
          <w:rFonts w:cstheme="minorHAnsi"/>
          <w:b/>
        </w:rPr>
      </w:pPr>
      <w:r w:rsidRPr="00D86251">
        <w:rPr>
          <w:rFonts w:cstheme="minorHAnsi"/>
          <w:b/>
        </w:rPr>
        <w:t>Q: Can I reschedule my LTB orders</w:t>
      </w:r>
      <w:r>
        <w:rPr>
          <w:rFonts w:cstheme="minorHAnsi"/>
          <w:b/>
        </w:rPr>
        <w:t>?</w:t>
      </w:r>
    </w:p>
    <w:p w14:paraId="40F15197" w14:textId="7AB153DD" w:rsidR="00731DF7" w:rsidRDefault="00731DF7" w:rsidP="00731DF7">
      <w:pPr>
        <w:spacing w:after="0" w:line="240" w:lineRule="auto"/>
        <w:rPr>
          <w:rFonts w:cstheme="minorHAnsi"/>
        </w:rPr>
      </w:pPr>
      <w:r w:rsidRPr="00FF6E1D">
        <w:rPr>
          <w:rFonts w:cstheme="minorHAnsi"/>
          <w:b/>
        </w:rPr>
        <w:t>A:</w:t>
      </w:r>
      <w:r>
        <w:rPr>
          <w:rFonts w:cstheme="minorHAnsi"/>
        </w:rPr>
        <w:t xml:space="preserve"> Yes, in accordance with Lattice’s reschedule window of</w:t>
      </w:r>
      <w:r w:rsidR="00F57CC4">
        <w:rPr>
          <w:rFonts w:cstheme="minorHAnsi"/>
        </w:rPr>
        <w:t xml:space="preserve"> 30 days, not to go beyond 12/30</w:t>
      </w:r>
      <w:r>
        <w:rPr>
          <w:rFonts w:cstheme="minorHAnsi"/>
        </w:rPr>
        <w:t>/</w:t>
      </w:r>
      <w:r w:rsidR="00EC31C1">
        <w:rPr>
          <w:rFonts w:cstheme="minorHAnsi"/>
        </w:rPr>
        <w:t>20</w:t>
      </w:r>
      <w:r>
        <w:rPr>
          <w:rFonts w:cstheme="minorHAnsi"/>
        </w:rPr>
        <w:t>16.  If your order has been placed through an authorized Lattice Distributor, refer to their reschedule policy.</w:t>
      </w:r>
    </w:p>
    <w:p w14:paraId="73D29029" w14:textId="77777777" w:rsidR="00731DF7" w:rsidRPr="00EA4EE9" w:rsidRDefault="00731DF7" w:rsidP="00731DF7">
      <w:pPr>
        <w:spacing w:after="0" w:line="240" w:lineRule="auto"/>
        <w:rPr>
          <w:rFonts w:cstheme="minorHAnsi"/>
        </w:rPr>
      </w:pPr>
    </w:p>
    <w:p w14:paraId="5209232F" w14:textId="4D3EBE55" w:rsidR="00D03535" w:rsidRPr="00EA4EE9" w:rsidRDefault="00D86251" w:rsidP="00D03535">
      <w:pPr>
        <w:spacing w:after="0" w:line="240" w:lineRule="auto"/>
        <w:rPr>
          <w:rFonts w:cstheme="minorHAnsi"/>
          <w:b/>
        </w:rPr>
      </w:pPr>
      <w:r>
        <w:rPr>
          <w:rFonts w:cstheme="minorHAnsi"/>
          <w:b/>
        </w:rPr>
        <w:t xml:space="preserve">Q:  What is Lattice’s </w:t>
      </w:r>
      <w:r w:rsidR="00D03535" w:rsidRPr="00EA4EE9">
        <w:rPr>
          <w:rFonts w:cstheme="minorHAnsi"/>
          <w:b/>
        </w:rPr>
        <w:t>shipping strategy</w:t>
      </w:r>
      <w:r w:rsidR="00CB6322">
        <w:rPr>
          <w:rFonts w:cstheme="minorHAnsi"/>
          <w:b/>
        </w:rPr>
        <w:t xml:space="preserve"> on LTB orders</w:t>
      </w:r>
      <w:r w:rsidR="00D03535" w:rsidRPr="00EA4EE9">
        <w:rPr>
          <w:rFonts w:cstheme="minorHAnsi"/>
          <w:b/>
        </w:rPr>
        <w:t>?</w:t>
      </w:r>
    </w:p>
    <w:p w14:paraId="4397A368" w14:textId="513E7F56" w:rsidR="00D03535" w:rsidRDefault="00D03535" w:rsidP="00D03535">
      <w:pPr>
        <w:spacing w:after="0" w:line="240" w:lineRule="auto"/>
        <w:rPr>
          <w:rFonts w:cstheme="minorHAnsi"/>
        </w:rPr>
      </w:pPr>
      <w:r w:rsidRPr="00EA4EE9">
        <w:rPr>
          <w:rFonts w:cstheme="minorHAnsi"/>
          <w:b/>
        </w:rPr>
        <w:t>A:</w:t>
      </w:r>
      <w:r w:rsidRPr="00EA4EE9">
        <w:rPr>
          <w:rFonts w:cstheme="minorHAnsi"/>
        </w:rPr>
        <w:t xml:space="preserve">  </w:t>
      </w:r>
      <w:r w:rsidR="00BD7882">
        <w:rPr>
          <w:rFonts w:cstheme="minorHAnsi"/>
        </w:rPr>
        <w:t>OEMs and Distributors</w:t>
      </w:r>
      <w:r w:rsidR="00D86251">
        <w:rPr>
          <w:rFonts w:cstheme="minorHAnsi"/>
        </w:rPr>
        <w:t xml:space="preserve"> may schedule their LTB orders out through </w:t>
      </w:r>
      <w:r w:rsidR="00F57CC4">
        <w:rPr>
          <w:rFonts w:cstheme="minorHAnsi"/>
        </w:rPr>
        <w:t>12/30</w:t>
      </w:r>
      <w:r w:rsidR="00A43CA8">
        <w:rPr>
          <w:rFonts w:cstheme="minorHAnsi"/>
        </w:rPr>
        <w:t>/</w:t>
      </w:r>
      <w:r w:rsidR="00EC31C1">
        <w:rPr>
          <w:rFonts w:cstheme="minorHAnsi"/>
        </w:rPr>
        <w:t>20</w:t>
      </w:r>
      <w:r w:rsidR="00A43CA8">
        <w:rPr>
          <w:rFonts w:cstheme="minorHAnsi"/>
        </w:rPr>
        <w:t>16</w:t>
      </w:r>
      <w:r w:rsidR="00CB6322">
        <w:rPr>
          <w:rFonts w:cstheme="minorHAnsi"/>
        </w:rPr>
        <w:t xml:space="preserve">. </w:t>
      </w:r>
      <w:r w:rsidR="00D86251">
        <w:rPr>
          <w:rFonts w:cstheme="minorHAnsi"/>
        </w:rPr>
        <w:t xml:space="preserve"> </w:t>
      </w:r>
      <w:r w:rsidR="00BD7882">
        <w:rPr>
          <w:rFonts w:cstheme="minorHAnsi"/>
        </w:rPr>
        <w:t xml:space="preserve">  Customers purchasing through the Distribution channel should consult with their Distribution partner regarding the LTS date.</w:t>
      </w:r>
    </w:p>
    <w:p w14:paraId="2B64A4C0" w14:textId="77777777" w:rsidR="00D03535" w:rsidRPr="00EA4EE9" w:rsidRDefault="00D03535" w:rsidP="00D03535">
      <w:pPr>
        <w:spacing w:after="0" w:line="240" w:lineRule="auto"/>
        <w:rPr>
          <w:rFonts w:cstheme="minorHAnsi"/>
        </w:rPr>
      </w:pPr>
    </w:p>
    <w:p w14:paraId="1EA5EA40" w14:textId="3B3C11FB" w:rsidR="00C03BF9" w:rsidRPr="00EA4EE9" w:rsidRDefault="00C03BF9" w:rsidP="00EA4EE9">
      <w:pPr>
        <w:spacing w:after="0" w:line="240" w:lineRule="auto"/>
        <w:rPr>
          <w:rFonts w:cstheme="minorHAnsi"/>
          <w:b/>
        </w:rPr>
      </w:pPr>
      <w:r w:rsidRPr="00EA4EE9">
        <w:rPr>
          <w:rFonts w:cstheme="minorHAnsi"/>
          <w:b/>
        </w:rPr>
        <w:t xml:space="preserve">Q: Why is Lattice supporting a </w:t>
      </w:r>
      <w:r w:rsidR="003530A7" w:rsidRPr="00EA4EE9">
        <w:rPr>
          <w:rFonts w:cstheme="minorHAnsi"/>
          <w:b/>
        </w:rPr>
        <w:t>Last Time Ship (</w:t>
      </w:r>
      <w:r w:rsidRPr="00EA4EE9">
        <w:rPr>
          <w:rFonts w:cstheme="minorHAnsi"/>
          <w:b/>
        </w:rPr>
        <w:t>LTS</w:t>
      </w:r>
      <w:r w:rsidR="003530A7" w:rsidRPr="00EA4EE9">
        <w:rPr>
          <w:rFonts w:cstheme="minorHAnsi"/>
          <w:b/>
        </w:rPr>
        <w:t>)</w:t>
      </w:r>
      <w:r w:rsidR="00A8072E" w:rsidRPr="00EA4EE9">
        <w:rPr>
          <w:rFonts w:cstheme="minorHAnsi"/>
          <w:b/>
        </w:rPr>
        <w:t xml:space="preserve"> </w:t>
      </w:r>
      <w:r w:rsidR="00D86251">
        <w:rPr>
          <w:rFonts w:cstheme="minorHAnsi"/>
          <w:b/>
        </w:rPr>
        <w:t xml:space="preserve">date </w:t>
      </w:r>
      <w:r w:rsidR="00A8072E" w:rsidRPr="00EA4EE9">
        <w:rPr>
          <w:rFonts w:cstheme="minorHAnsi"/>
          <w:b/>
        </w:rPr>
        <w:t xml:space="preserve">out to </w:t>
      </w:r>
      <w:r w:rsidR="00D86251">
        <w:rPr>
          <w:rFonts w:cstheme="minorHAnsi"/>
          <w:b/>
        </w:rPr>
        <w:t xml:space="preserve">the end of </w:t>
      </w:r>
      <w:r w:rsidR="00A8072E" w:rsidRPr="00EA4EE9">
        <w:rPr>
          <w:rFonts w:cstheme="minorHAnsi"/>
          <w:b/>
        </w:rPr>
        <w:t>2016</w:t>
      </w:r>
      <w:r w:rsidRPr="00EA4EE9">
        <w:rPr>
          <w:rFonts w:cstheme="minorHAnsi"/>
          <w:b/>
        </w:rPr>
        <w:t>?</w:t>
      </w:r>
    </w:p>
    <w:p w14:paraId="1EA5EA41" w14:textId="2FEFB97C" w:rsidR="00C03BF9" w:rsidRDefault="00C03BF9" w:rsidP="00EA4EE9">
      <w:pPr>
        <w:spacing w:line="240" w:lineRule="auto"/>
        <w:rPr>
          <w:rFonts w:cstheme="minorHAnsi"/>
        </w:rPr>
      </w:pPr>
      <w:r w:rsidRPr="00EA4EE9">
        <w:rPr>
          <w:rFonts w:cstheme="minorHAnsi"/>
          <w:b/>
        </w:rPr>
        <w:t>A:</w:t>
      </w:r>
      <w:r w:rsidRPr="00EA4EE9">
        <w:rPr>
          <w:rFonts w:cstheme="minorHAnsi"/>
        </w:rPr>
        <w:t xml:space="preserve">  </w:t>
      </w:r>
      <w:r w:rsidR="00DD1A6E" w:rsidRPr="00EA4EE9">
        <w:rPr>
          <w:rFonts w:cstheme="minorHAnsi"/>
        </w:rPr>
        <w:t xml:space="preserve">To minimize business disruption to Lattice and its customers, we are extending </w:t>
      </w:r>
      <w:r w:rsidR="00D86251">
        <w:rPr>
          <w:rFonts w:cstheme="minorHAnsi"/>
        </w:rPr>
        <w:t xml:space="preserve">the </w:t>
      </w:r>
      <w:r w:rsidR="00DD1A6E" w:rsidRPr="00EA4EE9">
        <w:rPr>
          <w:rFonts w:cstheme="minorHAnsi"/>
        </w:rPr>
        <w:t xml:space="preserve">LTS </w:t>
      </w:r>
      <w:r w:rsidR="00F57CC4">
        <w:rPr>
          <w:rFonts w:cstheme="minorHAnsi"/>
        </w:rPr>
        <w:t>date to 12/30</w:t>
      </w:r>
      <w:r w:rsidR="00D86251">
        <w:rPr>
          <w:rFonts w:cstheme="minorHAnsi"/>
        </w:rPr>
        <w:t>/</w:t>
      </w:r>
      <w:r w:rsidR="00EC31C1">
        <w:rPr>
          <w:rFonts w:cstheme="minorHAnsi"/>
        </w:rPr>
        <w:t>20</w:t>
      </w:r>
      <w:bookmarkStart w:id="0" w:name="_GoBack"/>
      <w:bookmarkEnd w:id="0"/>
      <w:r w:rsidR="00D86251">
        <w:rPr>
          <w:rFonts w:cstheme="minorHAnsi"/>
        </w:rPr>
        <w:t>16</w:t>
      </w:r>
      <w:r w:rsidR="00DD1A6E" w:rsidRPr="00EA4EE9">
        <w:rPr>
          <w:rFonts w:cstheme="minorHAnsi"/>
        </w:rPr>
        <w:t xml:space="preserve">.  Lattice is willing and able to manage the LTS window through 2016 by holding inventory at various stages of its manufacturing processes.  This allows our customers to defer the actual purchase and expense of these LTB orders </w:t>
      </w:r>
      <w:r w:rsidR="00CB6322">
        <w:rPr>
          <w:rFonts w:cstheme="minorHAnsi"/>
        </w:rPr>
        <w:t xml:space="preserve">until </w:t>
      </w:r>
      <w:r w:rsidR="00DD1A6E" w:rsidRPr="00EA4EE9">
        <w:rPr>
          <w:rFonts w:cstheme="minorHAnsi"/>
        </w:rPr>
        <w:t>late 2016</w:t>
      </w:r>
      <w:r w:rsidR="00CB6322">
        <w:rPr>
          <w:rFonts w:cstheme="minorHAnsi"/>
        </w:rPr>
        <w:t>,</w:t>
      </w:r>
      <w:r w:rsidR="00DD1A6E" w:rsidRPr="00EA4EE9">
        <w:rPr>
          <w:rFonts w:cstheme="minorHAnsi"/>
        </w:rPr>
        <w:t xml:space="preserve"> if desired. </w:t>
      </w:r>
    </w:p>
    <w:p w14:paraId="6ACF8043" w14:textId="77777777" w:rsidR="00FF6E1D" w:rsidRPr="00EA4EE9" w:rsidRDefault="00FF6E1D" w:rsidP="00FF6E1D">
      <w:pPr>
        <w:spacing w:after="0" w:line="240" w:lineRule="auto"/>
        <w:rPr>
          <w:rFonts w:cstheme="minorHAnsi"/>
          <w:b/>
        </w:rPr>
      </w:pPr>
      <w:r w:rsidRPr="00EA4EE9">
        <w:rPr>
          <w:rFonts w:cstheme="minorHAnsi"/>
          <w:b/>
        </w:rPr>
        <w:t xml:space="preserve">Q: </w:t>
      </w:r>
      <w:r>
        <w:rPr>
          <w:rFonts w:cstheme="minorHAnsi"/>
          <w:b/>
        </w:rPr>
        <w:t>Will Lattice and its Distributors support existing pricing for LTB orders placed by the LTB date</w:t>
      </w:r>
      <w:r w:rsidRPr="00EA4EE9">
        <w:rPr>
          <w:rFonts w:cstheme="minorHAnsi"/>
          <w:b/>
        </w:rPr>
        <w:t>?</w:t>
      </w:r>
    </w:p>
    <w:p w14:paraId="35786AC6" w14:textId="77777777" w:rsidR="00FF6E1D" w:rsidRPr="00EA4EE9" w:rsidRDefault="00FF6E1D" w:rsidP="00FF6E1D">
      <w:pPr>
        <w:spacing w:line="240" w:lineRule="auto"/>
        <w:rPr>
          <w:rFonts w:cstheme="minorHAnsi"/>
        </w:rPr>
      </w:pPr>
      <w:r w:rsidRPr="00EA4EE9">
        <w:rPr>
          <w:rFonts w:cstheme="minorHAnsi"/>
          <w:b/>
        </w:rPr>
        <w:t>A:</w:t>
      </w:r>
      <w:r>
        <w:rPr>
          <w:rFonts w:cstheme="minorHAnsi"/>
        </w:rPr>
        <w:t xml:space="preserve">  Yes.</w:t>
      </w:r>
      <w:r w:rsidRPr="00EA4EE9">
        <w:rPr>
          <w:rFonts w:cstheme="minorHAnsi"/>
        </w:rPr>
        <w:t xml:space="preserve">  </w:t>
      </w:r>
      <w:r>
        <w:rPr>
          <w:rFonts w:cstheme="minorHAnsi"/>
        </w:rPr>
        <w:t xml:space="preserve">Lattice will support existing pricing to its OEM customers.  Further, Lattice will continue to support the existing cost basis for all Distribution channel business.  Lattice’s expectation is that the Distributor will also honor the current resale pricing to the end customer.  </w:t>
      </w:r>
    </w:p>
    <w:p w14:paraId="7F08EF17" w14:textId="77777777" w:rsidR="00731DF7" w:rsidRPr="00EA4EE9" w:rsidRDefault="00731DF7" w:rsidP="00731DF7">
      <w:pPr>
        <w:spacing w:after="0" w:line="240" w:lineRule="auto"/>
        <w:rPr>
          <w:rFonts w:cstheme="minorHAnsi"/>
          <w:b/>
        </w:rPr>
      </w:pPr>
      <w:r w:rsidRPr="00EA4EE9">
        <w:rPr>
          <w:rFonts w:cstheme="minorHAnsi"/>
          <w:b/>
        </w:rPr>
        <w:t xml:space="preserve">Q:  Will prices go up on these </w:t>
      </w:r>
      <w:r>
        <w:rPr>
          <w:rFonts w:cstheme="minorHAnsi"/>
          <w:b/>
        </w:rPr>
        <w:t xml:space="preserve">discontinued </w:t>
      </w:r>
      <w:r w:rsidRPr="00EA4EE9">
        <w:rPr>
          <w:rFonts w:cstheme="minorHAnsi"/>
          <w:b/>
        </w:rPr>
        <w:t>products for orders placed after the LTB date?</w:t>
      </w:r>
    </w:p>
    <w:p w14:paraId="14C94077" w14:textId="3595BC8E" w:rsidR="00731DF7" w:rsidRDefault="00731DF7" w:rsidP="00731DF7">
      <w:pPr>
        <w:spacing w:after="0" w:line="240" w:lineRule="auto"/>
        <w:rPr>
          <w:rFonts w:cstheme="minorHAnsi"/>
        </w:rPr>
      </w:pPr>
      <w:r w:rsidRPr="00EA4EE9">
        <w:rPr>
          <w:rFonts w:cstheme="minorHAnsi"/>
          <w:b/>
        </w:rPr>
        <w:t>A:</w:t>
      </w:r>
      <w:r w:rsidRPr="00EA4EE9">
        <w:rPr>
          <w:rFonts w:cstheme="minorHAnsi"/>
        </w:rPr>
        <w:t xml:space="preserve">  Lattice will support existing pricing for all properly placed LTB orders.  </w:t>
      </w:r>
      <w:r>
        <w:rPr>
          <w:rFonts w:cstheme="minorHAnsi"/>
        </w:rPr>
        <w:t>Orders placed after the LTB deadline can only be accepted on a “commercially best effort” basis and are subject to price increases and availability restrictions.</w:t>
      </w:r>
      <w:r w:rsidRPr="00EA4EE9">
        <w:rPr>
          <w:rFonts w:cstheme="minorHAnsi"/>
        </w:rPr>
        <w:t xml:space="preserve"> </w:t>
      </w:r>
    </w:p>
    <w:p w14:paraId="13516B80" w14:textId="77777777" w:rsidR="00731DF7" w:rsidRPr="00EA4EE9" w:rsidRDefault="00731DF7" w:rsidP="00731DF7">
      <w:pPr>
        <w:spacing w:after="0" w:line="240" w:lineRule="auto"/>
        <w:rPr>
          <w:rFonts w:cstheme="minorHAnsi"/>
        </w:rPr>
      </w:pPr>
    </w:p>
    <w:p w14:paraId="084DA0B8" w14:textId="0E2C20D5" w:rsidR="00731DF7" w:rsidRDefault="00731DF7" w:rsidP="00731DF7">
      <w:pPr>
        <w:spacing w:after="0" w:line="240" w:lineRule="auto"/>
        <w:rPr>
          <w:rFonts w:cstheme="minorHAnsi"/>
          <w:b/>
        </w:rPr>
      </w:pPr>
      <w:r>
        <w:rPr>
          <w:rFonts w:cstheme="minorHAnsi"/>
          <w:b/>
        </w:rPr>
        <w:t>Q: I am a distribution customer.  How do these LTB and LTS dates apply to me personally versus the Distributor?</w:t>
      </w:r>
    </w:p>
    <w:p w14:paraId="51880651" w14:textId="38902EA3" w:rsidR="00731DF7" w:rsidRDefault="00731DF7" w:rsidP="00731DF7">
      <w:pPr>
        <w:spacing w:after="0" w:line="240" w:lineRule="auto"/>
        <w:rPr>
          <w:rFonts w:cstheme="minorHAnsi"/>
        </w:rPr>
      </w:pPr>
      <w:r>
        <w:rPr>
          <w:rFonts w:cstheme="minorHAnsi"/>
          <w:b/>
        </w:rPr>
        <w:t xml:space="preserve">A: </w:t>
      </w:r>
      <w:r w:rsidRPr="006017EC">
        <w:rPr>
          <w:rFonts w:cstheme="minorHAnsi"/>
        </w:rPr>
        <w:t xml:space="preserve">The </w:t>
      </w:r>
      <w:r>
        <w:rPr>
          <w:rFonts w:cstheme="minorHAnsi"/>
        </w:rPr>
        <w:t xml:space="preserve">LTB and LTS dates pertain to orders received by and shipped by Lattice.  For OEMs, these dates translate directly to the OEM.  If you take advantage of the Distribution channel, these dates pertain to the Distributor’s orders on Lattice.  </w:t>
      </w:r>
      <w:r w:rsidRPr="00925724">
        <w:rPr>
          <w:rFonts w:cstheme="minorHAnsi"/>
        </w:rPr>
        <w:t>Please work closely with your chosen Distribution partner</w:t>
      </w:r>
      <w:r>
        <w:rPr>
          <w:rFonts w:cstheme="minorHAnsi"/>
        </w:rPr>
        <w:t xml:space="preserve"> to determine when they need your LTB orders placed so that </w:t>
      </w:r>
      <w:r>
        <w:rPr>
          <w:rFonts w:cstheme="minorHAnsi"/>
        </w:rPr>
        <w:lastRenderedPageBreak/>
        <w:t>the Distributor can place its consolidated LTB orders on Lattice no later than the LTB date defined in the PCN.  Regarding last shipments, Lattice will ship its backlog to the Distributor as l</w:t>
      </w:r>
      <w:r w:rsidR="00F57CC4">
        <w:rPr>
          <w:rFonts w:cstheme="minorHAnsi"/>
        </w:rPr>
        <w:t>ate as 12/30</w:t>
      </w:r>
      <w:r>
        <w:rPr>
          <w:rFonts w:cstheme="minorHAnsi"/>
        </w:rPr>
        <w:t>/</w:t>
      </w:r>
      <w:r w:rsidR="00F57CC4">
        <w:rPr>
          <w:rFonts w:cstheme="minorHAnsi"/>
        </w:rPr>
        <w:t>20</w:t>
      </w:r>
      <w:r>
        <w:rPr>
          <w:rFonts w:cstheme="minorHAnsi"/>
        </w:rPr>
        <w:t xml:space="preserve">16, if the Distributor so requests. </w:t>
      </w:r>
    </w:p>
    <w:p w14:paraId="1EA5EA49" w14:textId="4F9E4111" w:rsidR="00C03BF9" w:rsidRPr="00FF6E1D" w:rsidRDefault="00731DF7" w:rsidP="00EA4EE9">
      <w:pPr>
        <w:spacing w:after="0" w:line="240" w:lineRule="auto"/>
        <w:rPr>
          <w:rFonts w:cstheme="minorHAnsi"/>
        </w:rPr>
      </w:pPr>
      <w:r>
        <w:rPr>
          <w:rFonts w:cstheme="minorHAnsi"/>
        </w:rPr>
        <w:t xml:space="preserve"> </w:t>
      </w:r>
    </w:p>
    <w:p w14:paraId="1EA5EA50" w14:textId="78EF2532" w:rsidR="007C30BF" w:rsidRPr="00EA4EE9" w:rsidRDefault="002F334A" w:rsidP="00EA4EE9">
      <w:pPr>
        <w:spacing w:after="0" w:line="240" w:lineRule="auto"/>
        <w:rPr>
          <w:rFonts w:cstheme="minorHAnsi"/>
          <w:b/>
        </w:rPr>
      </w:pPr>
      <w:r>
        <w:rPr>
          <w:rFonts w:cstheme="minorHAnsi"/>
          <w:b/>
        </w:rPr>
        <w:t xml:space="preserve">Q:  What happens if an </w:t>
      </w:r>
      <w:r w:rsidR="007C30BF" w:rsidRPr="00EA4EE9">
        <w:rPr>
          <w:rFonts w:cstheme="minorHAnsi"/>
          <w:b/>
        </w:rPr>
        <w:t>end customer changes their EMS (Electronic Manufacturing Ser</w:t>
      </w:r>
      <w:r w:rsidR="00F57CC4">
        <w:rPr>
          <w:rFonts w:cstheme="minorHAnsi"/>
          <w:b/>
        </w:rPr>
        <w:t>vices; otherwise commonly referred</w:t>
      </w:r>
      <w:r w:rsidR="007C30BF" w:rsidRPr="00EA4EE9">
        <w:rPr>
          <w:rFonts w:cstheme="minorHAnsi"/>
          <w:b/>
        </w:rPr>
        <w:t xml:space="preserve"> to </w:t>
      </w:r>
      <w:r w:rsidR="00F57CC4">
        <w:rPr>
          <w:rFonts w:cstheme="minorHAnsi"/>
          <w:b/>
        </w:rPr>
        <w:t xml:space="preserve">as a </w:t>
      </w:r>
      <w:r w:rsidR="004538F8" w:rsidRPr="00EA4EE9">
        <w:rPr>
          <w:rFonts w:cstheme="minorHAnsi"/>
          <w:b/>
        </w:rPr>
        <w:t>Contract Manufacturer) provider and want</w:t>
      </w:r>
      <w:r>
        <w:rPr>
          <w:rFonts w:cstheme="minorHAnsi"/>
          <w:b/>
        </w:rPr>
        <w:t>s</w:t>
      </w:r>
      <w:r w:rsidR="004538F8" w:rsidRPr="00EA4EE9">
        <w:rPr>
          <w:rFonts w:cstheme="minorHAnsi"/>
          <w:b/>
        </w:rPr>
        <w:t xml:space="preserve"> to cancel and reissue </w:t>
      </w:r>
      <w:r w:rsidR="009B2262" w:rsidRPr="00EA4EE9">
        <w:rPr>
          <w:rFonts w:cstheme="minorHAnsi"/>
          <w:b/>
        </w:rPr>
        <w:t xml:space="preserve">prior placed </w:t>
      </w:r>
      <w:r w:rsidR="004538F8" w:rsidRPr="00EA4EE9">
        <w:rPr>
          <w:rFonts w:cstheme="minorHAnsi"/>
          <w:b/>
        </w:rPr>
        <w:t>orders?</w:t>
      </w:r>
    </w:p>
    <w:p w14:paraId="1EA5EA51" w14:textId="610C10D8" w:rsidR="007C30BF" w:rsidRPr="00EA4EE9" w:rsidRDefault="007C30BF" w:rsidP="00EA4EE9">
      <w:pPr>
        <w:spacing w:after="0" w:line="240" w:lineRule="auto"/>
        <w:rPr>
          <w:rFonts w:cstheme="minorHAnsi"/>
        </w:rPr>
      </w:pPr>
      <w:r w:rsidRPr="00EA4EE9">
        <w:rPr>
          <w:rFonts w:cstheme="minorHAnsi"/>
          <w:b/>
        </w:rPr>
        <w:t>A:</w:t>
      </w:r>
      <w:r w:rsidRPr="00EA4EE9">
        <w:rPr>
          <w:rFonts w:cstheme="minorHAnsi"/>
        </w:rPr>
        <w:t xml:space="preserve">  </w:t>
      </w:r>
      <w:r w:rsidR="00F76664" w:rsidRPr="00EA4EE9">
        <w:rPr>
          <w:rFonts w:cstheme="minorHAnsi"/>
        </w:rPr>
        <w:t xml:space="preserve">LTB orders are non-cancellable and non-returnable.  Lattice will honor its commitment to the entity that </w:t>
      </w:r>
      <w:r w:rsidR="004538F8" w:rsidRPr="00EA4EE9">
        <w:rPr>
          <w:rFonts w:cstheme="minorHAnsi"/>
        </w:rPr>
        <w:t xml:space="preserve">first </w:t>
      </w:r>
      <w:r w:rsidR="00F76664" w:rsidRPr="00EA4EE9">
        <w:rPr>
          <w:rFonts w:cstheme="minorHAnsi"/>
        </w:rPr>
        <w:t xml:space="preserve">placed the orders. </w:t>
      </w:r>
      <w:r w:rsidRPr="00EA4EE9">
        <w:rPr>
          <w:rFonts w:cstheme="minorHAnsi"/>
        </w:rPr>
        <w:t xml:space="preserve"> </w:t>
      </w:r>
    </w:p>
    <w:p w14:paraId="66C61601" w14:textId="77777777" w:rsidR="006C460F" w:rsidRPr="00EA4EE9" w:rsidRDefault="006C460F" w:rsidP="00EA4EE9">
      <w:pPr>
        <w:spacing w:after="0" w:line="240" w:lineRule="auto"/>
        <w:rPr>
          <w:rFonts w:cstheme="minorHAnsi"/>
          <w:b/>
        </w:rPr>
      </w:pPr>
    </w:p>
    <w:p w14:paraId="1EA5EA56" w14:textId="77777777" w:rsidR="007C30BF" w:rsidRPr="00EA4EE9" w:rsidRDefault="007C30BF" w:rsidP="00EA4EE9">
      <w:pPr>
        <w:spacing w:after="0" w:line="240" w:lineRule="auto"/>
        <w:rPr>
          <w:rFonts w:cstheme="minorHAnsi"/>
          <w:b/>
        </w:rPr>
      </w:pPr>
      <w:r w:rsidRPr="00EA4EE9">
        <w:rPr>
          <w:rFonts w:cstheme="minorHAnsi"/>
          <w:b/>
        </w:rPr>
        <w:t>Q:  What happens if there is a change in the Lattice distribution network?</w:t>
      </w:r>
    </w:p>
    <w:p w14:paraId="7215ABA6" w14:textId="612AD0D6" w:rsidR="006A573B" w:rsidRPr="00EA4EE9" w:rsidRDefault="007C30BF" w:rsidP="00EA4EE9">
      <w:pPr>
        <w:spacing w:after="0" w:line="240" w:lineRule="auto"/>
        <w:rPr>
          <w:rFonts w:cstheme="minorHAnsi"/>
        </w:rPr>
      </w:pPr>
      <w:r w:rsidRPr="00EA4EE9">
        <w:rPr>
          <w:rFonts w:cstheme="minorHAnsi"/>
          <w:b/>
        </w:rPr>
        <w:t>A:</w:t>
      </w:r>
      <w:r w:rsidRPr="00EA4EE9">
        <w:rPr>
          <w:rFonts w:cstheme="minorHAnsi"/>
        </w:rPr>
        <w:t xml:space="preserve">  In the event of a Lattice distributor change, Lattice will ensure </w:t>
      </w:r>
      <w:r w:rsidR="006A573B" w:rsidRPr="00EA4EE9">
        <w:rPr>
          <w:rFonts w:cstheme="minorHAnsi"/>
        </w:rPr>
        <w:t xml:space="preserve">orders placed through </w:t>
      </w:r>
      <w:r w:rsidR="006C460F">
        <w:rPr>
          <w:rFonts w:cstheme="minorHAnsi"/>
        </w:rPr>
        <w:t xml:space="preserve">the </w:t>
      </w:r>
      <w:r w:rsidR="006A573B" w:rsidRPr="00EA4EE9">
        <w:rPr>
          <w:rFonts w:cstheme="minorHAnsi"/>
        </w:rPr>
        <w:t xml:space="preserve">original distributor </w:t>
      </w:r>
      <w:r w:rsidR="006C460F">
        <w:rPr>
          <w:rFonts w:cstheme="minorHAnsi"/>
        </w:rPr>
        <w:t>get tr</w:t>
      </w:r>
      <w:r w:rsidR="006A573B" w:rsidRPr="00EA4EE9">
        <w:rPr>
          <w:rFonts w:cstheme="minorHAnsi"/>
        </w:rPr>
        <w:t>ansferred to another authorized distributor of your choice.</w:t>
      </w:r>
      <w:r w:rsidR="00EB625F">
        <w:rPr>
          <w:rFonts w:cstheme="minorHAnsi"/>
        </w:rPr>
        <w:t xml:space="preserve">  Lattice will ensure the same delivery dates.</w:t>
      </w:r>
    </w:p>
    <w:p w14:paraId="636D4978" w14:textId="6A9C0848" w:rsidR="009B2262" w:rsidRPr="00EA4EE9" w:rsidRDefault="009B2262" w:rsidP="00EA4EE9">
      <w:pPr>
        <w:spacing w:after="0" w:line="240" w:lineRule="auto"/>
        <w:rPr>
          <w:rFonts w:cstheme="minorHAnsi"/>
          <w:sz w:val="16"/>
        </w:rPr>
      </w:pPr>
    </w:p>
    <w:p w14:paraId="3169DD0A" w14:textId="6C2C0310" w:rsidR="009B2262" w:rsidRPr="00EA4EE9" w:rsidRDefault="009B2262" w:rsidP="00EA4EE9">
      <w:pPr>
        <w:spacing w:after="0" w:line="240" w:lineRule="auto"/>
        <w:rPr>
          <w:rFonts w:cstheme="minorHAnsi"/>
          <w:b/>
        </w:rPr>
      </w:pPr>
      <w:r w:rsidRPr="00EA4EE9">
        <w:rPr>
          <w:rFonts w:cstheme="minorHAnsi"/>
          <w:b/>
        </w:rPr>
        <w:t>Q:  Does Lattice plan to transfer these di</w:t>
      </w:r>
      <w:r w:rsidR="00B971F7">
        <w:rPr>
          <w:rFonts w:cstheme="minorHAnsi"/>
          <w:b/>
        </w:rPr>
        <w:t>scontinued products to</w:t>
      </w:r>
      <w:r w:rsidR="00EB625F">
        <w:rPr>
          <w:rFonts w:cstheme="minorHAnsi"/>
          <w:b/>
        </w:rPr>
        <w:t xml:space="preserve"> </w:t>
      </w:r>
      <w:r w:rsidR="00F57CC4">
        <w:rPr>
          <w:rFonts w:cstheme="minorHAnsi"/>
          <w:b/>
        </w:rPr>
        <w:t xml:space="preserve">a </w:t>
      </w:r>
      <w:r w:rsidR="00EB625F">
        <w:rPr>
          <w:rFonts w:cstheme="minorHAnsi"/>
          <w:b/>
        </w:rPr>
        <w:t xml:space="preserve">third party </w:t>
      </w:r>
      <w:r w:rsidR="00B971F7">
        <w:rPr>
          <w:rFonts w:cstheme="minorHAnsi"/>
          <w:b/>
        </w:rPr>
        <w:t>as</w:t>
      </w:r>
      <w:r w:rsidR="00D03535">
        <w:rPr>
          <w:rFonts w:cstheme="minorHAnsi"/>
          <w:b/>
        </w:rPr>
        <w:t xml:space="preserve"> has</w:t>
      </w:r>
      <w:r w:rsidRPr="00EA4EE9">
        <w:rPr>
          <w:rFonts w:cstheme="minorHAnsi"/>
          <w:b/>
        </w:rPr>
        <w:t xml:space="preserve"> </w:t>
      </w:r>
      <w:r w:rsidR="00B971F7">
        <w:rPr>
          <w:rFonts w:cstheme="minorHAnsi"/>
          <w:b/>
        </w:rPr>
        <w:t xml:space="preserve">been </w:t>
      </w:r>
      <w:r w:rsidRPr="00EA4EE9">
        <w:rPr>
          <w:rFonts w:cstheme="minorHAnsi"/>
          <w:b/>
        </w:rPr>
        <w:t>done in the past</w:t>
      </w:r>
      <w:r w:rsidR="006C460F">
        <w:rPr>
          <w:rFonts w:cstheme="minorHAnsi"/>
          <w:b/>
        </w:rPr>
        <w:t xml:space="preserve"> with other product discontinuances</w:t>
      </w:r>
      <w:r w:rsidRPr="00EA4EE9">
        <w:rPr>
          <w:rFonts w:cstheme="minorHAnsi"/>
          <w:b/>
        </w:rPr>
        <w:t>?</w:t>
      </w:r>
    </w:p>
    <w:p w14:paraId="70F9E311" w14:textId="6C0F8F64" w:rsidR="00A8072E" w:rsidRPr="00EA4EE9" w:rsidRDefault="009B2262" w:rsidP="00EA4EE9">
      <w:pPr>
        <w:spacing w:after="0" w:line="240" w:lineRule="auto"/>
        <w:rPr>
          <w:rFonts w:cstheme="minorHAnsi"/>
        </w:rPr>
      </w:pPr>
      <w:r w:rsidRPr="00EA4EE9">
        <w:rPr>
          <w:rFonts w:cstheme="minorHAnsi"/>
          <w:b/>
        </w:rPr>
        <w:t>A:</w:t>
      </w:r>
      <w:r w:rsidRPr="00EA4EE9">
        <w:rPr>
          <w:rFonts w:cstheme="minorHAnsi"/>
        </w:rPr>
        <w:t xml:space="preserve">  </w:t>
      </w:r>
      <w:r w:rsidR="006C460F">
        <w:rPr>
          <w:rFonts w:cstheme="minorHAnsi"/>
        </w:rPr>
        <w:t xml:space="preserve">Lattice </w:t>
      </w:r>
      <w:r w:rsidR="0033296A">
        <w:rPr>
          <w:rFonts w:cstheme="minorHAnsi"/>
        </w:rPr>
        <w:t>reserves the right</w:t>
      </w:r>
      <w:r w:rsidR="006017EC">
        <w:rPr>
          <w:rFonts w:cstheme="minorHAnsi"/>
        </w:rPr>
        <w:t xml:space="preserve"> to engage with any</w:t>
      </w:r>
      <w:r w:rsidR="006C460F">
        <w:rPr>
          <w:rFonts w:cstheme="minorHAnsi"/>
        </w:rPr>
        <w:t xml:space="preserve"> third party regarding the transfer of discontinued products.  </w:t>
      </w:r>
      <w:r w:rsidR="00B971F7">
        <w:rPr>
          <w:rFonts w:cstheme="minorHAnsi"/>
        </w:rPr>
        <w:t xml:space="preserve">Such transfer would </w:t>
      </w:r>
      <w:r w:rsidR="002F334A">
        <w:rPr>
          <w:rFonts w:cstheme="minorHAnsi"/>
        </w:rPr>
        <w:t>occur no earlier than</w:t>
      </w:r>
      <w:r w:rsidR="006017EC">
        <w:rPr>
          <w:rFonts w:cstheme="minorHAnsi"/>
        </w:rPr>
        <w:t xml:space="preserve"> the conclusion of the LTB order window.  Any orders accepted by Lattice prior to a product transfer to a third party would stay with Lattice and be supported and shipped by Lattice.</w:t>
      </w:r>
    </w:p>
    <w:p w14:paraId="48446BE9" w14:textId="77777777" w:rsidR="00A8072E" w:rsidRPr="00EA4EE9" w:rsidRDefault="00A8072E" w:rsidP="00EA4EE9">
      <w:pPr>
        <w:spacing w:after="0" w:line="240" w:lineRule="auto"/>
        <w:rPr>
          <w:rFonts w:cstheme="minorHAnsi"/>
        </w:rPr>
      </w:pPr>
    </w:p>
    <w:p w14:paraId="5B392F72" w14:textId="21441E7D" w:rsidR="00A8072E" w:rsidRPr="00EA4EE9" w:rsidRDefault="00A8072E" w:rsidP="00EA4EE9">
      <w:pPr>
        <w:spacing w:after="0" w:line="240" w:lineRule="auto"/>
        <w:rPr>
          <w:rFonts w:cstheme="minorHAnsi"/>
          <w:b/>
        </w:rPr>
      </w:pPr>
      <w:r w:rsidRPr="00EA4EE9">
        <w:rPr>
          <w:rFonts w:cstheme="minorHAnsi"/>
          <w:b/>
        </w:rPr>
        <w:t xml:space="preserve">Q:  If Lattice does transfer these discontinued products to </w:t>
      </w:r>
      <w:r w:rsidR="00EB625F">
        <w:rPr>
          <w:rFonts w:cstheme="minorHAnsi"/>
          <w:b/>
        </w:rPr>
        <w:t>a third party</w:t>
      </w:r>
      <w:r w:rsidRPr="00EA4EE9">
        <w:rPr>
          <w:rFonts w:cstheme="minorHAnsi"/>
          <w:b/>
        </w:rPr>
        <w:t>, w</w:t>
      </w:r>
      <w:r w:rsidR="00EB625F">
        <w:rPr>
          <w:rFonts w:cstheme="minorHAnsi"/>
          <w:b/>
        </w:rPr>
        <w:t>hat product warranty will this third</w:t>
      </w:r>
      <w:r w:rsidRPr="00EA4EE9">
        <w:rPr>
          <w:rFonts w:cstheme="minorHAnsi"/>
          <w:b/>
        </w:rPr>
        <w:t xml:space="preserve"> party provide to me, the end-customer?</w:t>
      </w:r>
    </w:p>
    <w:p w14:paraId="79C92902" w14:textId="2AC3A32F" w:rsidR="00D03535" w:rsidRPr="00925724" w:rsidRDefault="00A8072E" w:rsidP="00925724">
      <w:pPr>
        <w:spacing w:after="0" w:line="240" w:lineRule="auto"/>
        <w:rPr>
          <w:rFonts w:cstheme="minorHAnsi"/>
        </w:rPr>
      </w:pPr>
      <w:r w:rsidRPr="00EA4EE9">
        <w:rPr>
          <w:rFonts w:cstheme="minorHAnsi"/>
          <w:b/>
        </w:rPr>
        <w:t>A:</w:t>
      </w:r>
      <w:r w:rsidRPr="00EA4EE9">
        <w:rPr>
          <w:rFonts w:cstheme="minorHAnsi"/>
        </w:rPr>
        <w:t xml:space="preserve">  </w:t>
      </w:r>
      <w:r w:rsidR="006017EC">
        <w:rPr>
          <w:rFonts w:cstheme="minorHAnsi"/>
        </w:rPr>
        <w:t xml:space="preserve">Any </w:t>
      </w:r>
      <w:r w:rsidR="002F334A">
        <w:rPr>
          <w:rFonts w:cstheme="minorHAnsi"/>
        </w:rPr>
        <w:t xml:space="preserve">such </w:t>
      </w:r>
      <w:r w:rsidR="006017EC">
        <w:rPr>
          <w:rFonts w:cstheme="minorHAnsi"/>
        </w:rPr>
        <w:t>warranty would have to be established between</w:t>
      </w:r>
      <w:r w:rsidR="00EB625F">
        <w:rPr>
          <w:rFonts w:cstheme="minorHAnsi"/>
        </w:rPr>
        <w:t xml:space="preserve"> the third</w:t>
      </w:r>
      <w:r w:rsidR="006017EC">
        <w:rPr>
          <w:rFonts w:cstheme="minorHAnsi"/>
        </w:rPr>
        <w:t xml:space="preserve"> party and the end-customer.  Lattice</w:t>
      </w:r>
      <w:r w:rsidR="00EB625F">
        <w:rPr>
          <w:rFonts w:cstheme="minorHAnsi"/>
        </w:rPr>
        <w:t xml:space="preserve"> would have no input into this third</w:t>
      </w:r>
      <w:r w:rsidR="006017EC">
        <w:rPr>
          <w:rFonts w:cstheme="minorHAnsi"/>
        </w:rPr>
        <w:t xml:space="preserve"> party warranty.  Lattice warrants its products for 1 year after date of shipment</w:t>
      </w:r>
      <w:r w:rsidR="00EB625F">
        <w:rPr>
          <w:rFonts w:cstheme="minorHAnsi"/>
        </w:rPr>
        <w:t xml:space="preserve"> from Lattice</w:t>
      </w:r>
      <w:r w:rsidR="006017EC">
        <w:rPr>
          <w:rFonts w:cstheme="minorHAnsi"/>
        </w:rPr>
        <w:t xml:space="preserve">.  </w:t>
      </w:r>
    </w:p>
    <w:p w14:paraId="018E0AC1" w14:textId="77777777" w:rsidR="00925724" w:rsidRDefault="00925724" w:rsidP="00EA4EE9">
      <w:pPr>
        <w:spacing w:after="0" w:line="240" w:lineRule="auto"/>
        <w:rPr>
          <w:rFonts w:cstheme="minorHAnsi"/>
          <w:b/>
        </w:rPr>
      </w:pPr>
    </w:p>
    <w:p w14:paraId="49235BD9" w14:textId="77777777" w:rsidR="00FF6E1D" w:rsidRPr="00EA4EE9" w:rsidRDefault="00FF6E1D" w:rsidP="00FF6E1D">
      <w:pPr>
        <w:spacing w:after="0" w:line="240" w:lineRule="auto"/>
        <w:rPr>
          <w:rFonts w:cstheme="minorHAnsi"/>
          <w:b/>
        </w:rPr>
      </w:pPr>
      <w:r w:rsidRPr="00EA4EE9">
        <w:rPr>
          <w:rFonts w:cstheme="minorHAnsi"/>
          <w:b/>
        </w:rPr>
        <w:t>Q: What is Lattice’s replacement strategy for these SnPb and other select mature products?</w:t>
      </w:r>
    </w:p>
    <w:p w14:paraId="6C87740A" w14:textId="37BC1345" w:rsidR="00FF6E1D" w:rsidRPr="00EA4EE9" w:rsidRDefault="00FF6E1D" w:rsidP="00FF6E1D">
      <w:pPr>
        <w:spacing w:after="0" w:line="240" w:lineRule="auto"/>
        <w:rPr>
          <w:rFonts w:cstheme="minorHAnsi"/>
          <w:color w:val="0070C0"/>
        </w:rPr>
      </w:pPr>
      <w:r w:rsidRPr="00EA4EE9">
        <w:rPr>
          <w:rFonts w:cstheme="minorHAnsi"/>
          <w:b/>
        </w:rPr>
        <w:t>A:</w:t>
      </w:r>
      <w:r w:rsidRPr="00EA4EE9">
        <w:rPr>
          <w:rFonts w:cstheme="minorHAnsi"/>
        </w:rPr>
        <w:t xml:space="preserve">  </w:t>
      </w:r>
      <w:r>
        <w:rPr>
          <w:rFonts w:cstheme="minorHAnsi"/>
        </w:rPr>
        <w:t>For over 95% of the “Group 1” OPNs (100% SnPb), Lattice has a pinout- and voltage compatible Pb-Free OPN available for consideration.  Many of these replacement alternatives are also backward-compatible with a SnPb manufacturing process.  (See technical questions below for information on backward-compatibility).  For the “Group 2” OPNs (mixture of SnPb and Pb-Free), there are some Pb-Free pinout-compatible replacement alternatives, but most of these affected OPNs would require a redesign to one of Lattice’s newer product families.  The specific replacement alternative suggestions are detailed in the Affected Products section of the PCN.</w:t>
      </w:r>
    </w:p>
    <w:p w14:paraId="0580E08D" w14:textId="77777777" w:rsidR="00D03535" w:rsidRDefault="00D03535" w:rsidP="00EA4EE9">
      <w:pPr>
        <w:spacing w:after="0" w:line="240" w:lineRule="auto"/>
        <w:rPr>
          <w:rFonts w:cstheme="minorHAnsi"/>
        </w:rPr>
      </w:pPr>
    </w:p>
    <w:p w14:paraId="32DFEA7A" w14:textId="10A55AB9" w:rsidR="00653E94" w:rsidRPr="00653E94" w:rsidRDefault="00653E94" w:rsidP="00653E94">
      <w:pPr>
        <w:spacing w:after="0"/>
        <w:rPr>
          <w:b/>
          <w:color w:val="FF0000"/>
          <w:u w:val="single"/>
        </w:rPr>
      </w:pPr>
      <w:r>
        <w:rPr>
          <w:b/>
          <w:color w:val="FF0000"/>
          <w:u w:val="single"/>
        </w:rPr>
        <w:t>Technical</w:t>
      </w:r>
      <w:r w:rsidRPr="00653E94">
        <w:rPr>
          <w:b/>
          <w:color w:val="FF0000"/>
          <w:u w:val="single"/>
        </w:rPr>
        <w:t xml:space="preserve"> Questions</w:t>
      </w:r>
    </w:p>
    <w:p w14:paraId="18D00B21" w14:textId="77777777" w:rsidR="00D03535" w:rsidRDefault="00D03535" w:rsidP="00EA4EE9">
      <w:pPr>
        <w:spacing w:after="0" w:line="240" w:lineRule="auto"/>
        <w:rPr>
          <w:rFonts w:cstheme="minorHAnsi"/>
        </w:rPr>
      </w:pPr>
    </w:p>
    <w:p w14:paraId="66C03748" w14:textId="77777777" w:rsidR="008A6A1C" w:rsidRDefault="00925724" w:rsidP="00925724">
      <w:pPr>
        <w:spacing w:after="0" w:line="240" w:lineRule="auto"/>
        <w:rPr>
          <w:rFonts w:cstheme="minorHAnsi"/>
          <w:b/>
        </w:rPr>
      </w:pPr>
      <w:r w:rsidRPr="00EA4EE9">
        <w:rPr>
          <w:rFonts w:cstheme="minorHAnsi"/>
          <w:b/>
        </w:rPr>
        <w:t xml:space="preserve">Q: </w:t>
      </w:r>
      <w:r w:rsidR="008A6A1C">
        <w:rPr>
          <w:rFonts w:cstheme="minorHAnsi"/>
          <w:b/>
        </w:rPr>
        <w:t>For a Suggested Replacement OPN, what does Pinout-Compatible mean?</w:t>
      </w:r>
    </w:p>
    <w:p w14:paraId="05A24136" w14:textId="0DC41222" w:rsidR="00611541" w:rsidRPr="00184943" w:rsidRDefault="00611541" w:rsidP="00925724">
      <w:pPr>
        <w:spacing w:after="0" w:line="240" w:lineRule="auto"/>
        <w:rPr>
          <w:rFonts w:cstheme="minorHAnsi"/>
        </w:rPr>
      </w:pPr>
      <w:r>
        <w:rPr>
          <w:rFonts w:cstheme="minorHAnsi"/>
          <w:b/>
        </w:rPr>
        <w:t xml:space="preserve">A: </w:t>
      </w:r>
      <w:r w:rsidR="00BD7882">
        <w:rPr>
          <w:rFonts w:cstheme="minorHAnsi"/>
        </w:rPr>
        <w:t>Pinout-</w:t>
      </w:r>
      <w:r w:rsidRPr="00184943">
        <w:rPr>
          <w:rFonts w:cstheme="minorHAnsi"/>
        </w:rPr>
        <w:t xml:space="preserve">compatible means that the suggested replacement OPN </w:t>
      </w:r>
      <w:r w:rsidR="002F334A">
        <w:rPr>
          <w:rFonts w:cstheme="minorHAnsi"/>
        </w:rPr>
        <w:t xml:space="preserve">utilizes the </w:t>
      </w:r>
      <w:r w:rsidRPr="00184943">
        <w:rPr>
          <w:rFonts w:cstheme="minorHAnsi"/>
        </w:rPr>
        <w:t xml:space="preserve">same package, with the same physical dimensions and that the signal definition for each lead/ball is identical to the </w:t>
      </w:r>
      <w:r w:rsidR="00184943" w:rsidRPr="00184943">
        <w:rPr>
          <w:rFonts w:cstheme="minorHAnsi"/>
        </w:rPr>
        <w:t xml:space="preserve">OPN being discontinued.  For </w:t>
      </w:r>
      <w:r w:rsidR="00BD7882">
        <w:rPr>
          <w:rFonts w:cstheme="minorHAnsi"/>
        </w:rPr>
        <w:t xml:space="preserve">the 95% of </w:t>
      </w:r>
      <w:r w:rsidR="00184943" w:rsidRPr="00184943">
        <w:rPr>
          <w:rFonts w:cstheme="minorHAnsi"/>
        </w:rPr>
        <w:t xml:space="preserve">Group </w:t>
      </w:r>
      <w:r w:rsidR="00184943">
        <w:rPr>
          <w:rFonts w:cstheme="minorHAnsi"/>
        </w:rPr>
        <w:t>1 OPNs</w:t>
      </w:r>
      <w:r w:rsidR="00BD7882">
        <w:rPr>
          <w:rFonts w:cstheme="minorHAnsi"/>
        </w:rPr>
        <w:t xml:space="preserve"> which have a </w:t>
      </w:r>
      <w:r w:rsidR="00184943" w:rsidRPr="00184943">
        <w:rPr>
          <w:rFonts w:cstheme="minorHAnsi"/>
        </w:rPr>
        <w:t>replac</w:t>
      </w:r>
      <w:r w:rsidR="00184943">
        <w:rPr>
          <w:rFonts w:cstheme="minorHAnsi"/>
        </w:rPr>
        <w:t xml:space="preserve">ement OPN suggested, </w:t>
      </w:r>
      <w:r w:rsidR="00BD7882">
        <w:rPr>
          <w:rFonts w:cstheme="minorHAnsi"/>
        </w:rPr>
        <w:t>they are 1</w:t>
      </w:r>
      <w:r w:rsidR="00184943">
        <w:rPr>
          <w:rFonts w:cstheme="minorHAnsi"/>
        </w:rPr>
        <w:t>00% pinout-compatible</w:t>
      </w:r>
      <w:r w:rsidR="002F334A">
        <w:rPr>
          <w:rFonts w:cstheme="minorHAnsi"/>
        </w:rPr>
        <w:t>.</w:t>
      </w:r>
    </w:p>
    <w:p w14:paraId="35905F3B" w14:textId="77777777" w:rsidR="00611541" w:rsidRDefault="00611541" w:rsidP="00925724">
      <w:pPr>
        <w:spacing w:after="0" w:line="240" w:lineRule="auto"/>
        <w:rPr>
          <w:rFonts w:cstheme="minorHAnsi"/>
          <w:b/>
        </w:rPr>
      </w:pPr>
    </w:p>
    <w:p w14:paraId="5E1460AC" w14:textId="63A0E2A3" w:rsidR="00611541" w:rsidRDefault="00611541" w:rsidP="00925724">
      <w:pPr>
        <w:spacing w:after="0" w:line="240" w:lineRule="auto"/>
        <w:rPr>
          <w:rFonts w:cstheme="minorHAnsi"/>
          <w:b/>
        </w:rPr>
      </w:pPr>
      <w:r>
        <w:rPr>
          <w:rFonts w:cstheme="minorHAnsi"/>
          <w:b/>
        </w:rPr>
        <w:t>Q: For a Suggested Replacement OPN, what does Voltage-Compatible mean?</w:t>
      </w:r>
    </w:p>
    <w:p w14:paraId="23AB13F9" w14:textId="4F95DEEF" w:rsidR="00E2429B" w:rsidRDefault="00611541" w:rsidP="00611541">
      <w:pPr>
        <w:spacing w:after="0" w:line="240" w:lineRule="auto"/>
        <w:rPr>
          <w:rFonts w:cstheme="minorHAnsi"/>
        </w:rPr>
      </w:pPr>
      <w:r>
        <w:rPr>
          <w:rFonts w:cstheme="minorHAnsi"/>
          <w:b/>
        </w:rPr>
        <w:t>A:</w:t>
      </w:r>
      <w:r w:rsidR="00184943">
        <w:rPr>
          <w:rFonts w:cstheme="minorHAnsi"/>
          <w:b/>
        </w:rPr>
        <w:t xml:space="preserve"> </w:t>
      </w:r>
      <w:r w:rsidR="00E2429B" w:rsidRPr="00E2429B">
        <w:rPr>
          <w:rFonts w:cstheme="minorHAnsi"/>
        </w:rPr>
        <w:t xml:space="preserve">Voltage-compatibility indicates that the core </w:t>
      </w:r>
      <w:r w:rsidR="00BD7882" w:rsidRPr="00BE66FA">
        <w:rPr>
          <w:rFonts w:cstheme="minorHAnsi"/>
        </w:rPr>
        <w:t>and I/O</w:t>
      </w:r>
      <w:r w:rsidR="00BD7882">
        <w:rPr>
          <w:rFonts w:cstheme="minorHAnsi"/>
        </w:rPr>
        <w:t xml:space="preserve"> </w:t>
      </w:r>
      <w:r w:rsidR="00E2429B" w:rsidRPr="00E2429B">
        <w:rPr>
          <w:rFonts w:cstheme="minorHAnsi"/>
        </w:rPr>
        <w:t xml:space="preserve">voltage of the discontinued OPN is the same as for the suggested replacement OPN.  There would be no need to modify the </w:t>
      </w:r>
      <w:r w:rsidR="00BE66FA">
        <w:rPr>
          <w:rFonts w:cstheme="minorHAnsi"/>
        </w:rPr>
        <w:t xml:space="preserve">core </w:t>
      </w:r>
      <w:r w:rsidR="00BE66FA" w:rsidRPr="00BE66FA">
        <w:rPr>
          <w:rFonts w:cstheme="minorHAnsi"/>
        </w:rPr>
        <w:t>and</w:t>
      </w:r>
      <w:r w:rsidR="00E2429B" w:rsidRPr="00BE66FA">
        <w:rPr>
          <w:rFonts w:cstheme="minorHAnsi"/>
        </w:rPr>
        <w:t xml:space="preserve"> </w:t>
      </w:r>
      <w:r w:rsidR="00BD7882" w:rsidRPr="00BE66FA">
        <w:rPr>
          <w:rFonts w:cstheme="minorHAnsi"/>
        </w:rPr>
        <w:t xml:space="preserve">I/O </w:t>
      </w:r>
      <w:r w:rsidR="00BE66FA" w:rsidRPr="00BE66FA">
        <w:rPr>
          <w:rFonts w:cstheme="minorHAnsi"/>
        </w:rPr>
        <w:t>voltage supplies</w:t>
      </w:r>
      <w:r w:rsidR="00BD7882">
        <w:rPr>
          <w:rFonts w:cstheme="minorHAnsi"/>
        </w:rPr>
        <w:t xml:space="preserve"> </w:t>
      </w:r>
      <w:r w:rsidR="00E2429B" w:rsidRPr="00E2429B">
        <w:rPr>
          <w:rFonts w:cstheme="minorHAnsi"/>
        </w:rPr>
        <w:t>of the existing circuit board.</w:t>
      </w:r>
    </w:p>
    <w:p w14:paraId="69AA04FF" w14:textId="77777777" w:rsidR="00E2429B" w:rsidRDefault="00E2429B" w:rsidP="00611541">
      <w:pPr>
        <w:spacing w:after="0" w:line="240" w:lineRule="auto"/>
        <w:rPr>
          <w:rFonts w:cstheme="minorHAnsi"/>
          <w:b/>
        </w:rPr>
      </w:pPr>
    </w:p>
    <w:p w14:paraId="4F9FDFB3" w14:textId="752A0FB8" w:rsidR="00611541" w:rsidRDefault="00611541" w:rsidP="00611541">
      <w:pPr>
        <w:spacing w:after="0" w:line="240" w:lineRule="auto"/>
        <w:rPr>
          <w:rFonts w:cstheme="minorHAnsi"/>
          <w:b/>
        </w:rPr>
      </w:pPr>
      <w:r>
        <w:rPr>
          <w:rFonts w:cstheme="minorHAnsi"/>
          <w:b/>
        </w:rPr>
        <w:t>Q: For a Suggested Replacement OPN, what does Backward-Compatible mean?</w:t>
      </w:r>
    </w:p>
    <w:p w14:paraId="4CB7552C" w14:textId="78C16451" w:rsidR="008E3983" w:rsidRPr="008E3983" w:rsidRDefault="00611541" w:rsidP="008E3983">
      <w:pPr>
        <w:spacing w:after="0" w:line="240" w:lineRule="auto"/>
        <w:rPr>
          <w:rFonts w:cstheme="minorHAnsi"/>
        </w:rPr>
      </w:pPr>
      <w:r>
        <w:rPr>
          <w:rFonts w:cstheme="minorHAnsi"/>
          <w:b/>
        </w:rPr>
        <w:t>A:</w:t>
      </w:r>
      <w:r w:rsidR="00E2429B">
        <w:rPr>
          <w:rFonts w:cstheme="minorHAnsi"/>
          <w:b/>
        </w:rPr>
        <w:t xml:space="preserve"> </w:t>
      </w:r>
      <w:r w:rsidR="001821D0">
        <w:rPr>
          <w:rFonts w:cstheme="minorHAnsi"/>
        </w:rPr>
        <w:t>Backward-</w:t>
      </w:r>
      <w:r w:rsidR="00E2429B" w:rsidRPr="00E2429B">
        <w:rPr>
          <w:rFonts w:cstheme="minorHAnsi"/>
        </w:rPr>
        <w:t xml:space="preserve">compatibility refers to the ability of a Pb-Free “replacement” OPN to operate fully within the existing SnPb manufacturing process.  </w:t>
      </w:r>
      <w:r w:rsidR="008E3983" w:rsidRPr="008E3983">
        <w:rPr>
          <w:rFonts w:cs="Arial"/>
          <w:lang w:val="en"/>
        </w:rPr>
        <w:t>This backward compatibility al</w:t>
      </w:r>
      <w:r w:rsidR="00F57CC4">
        <w:rPr>
          <w:rFonts w:cs="Arial"/>
          <w:lang w:val="en"/>
        </w:rPr>
        <w:t xml:space="preserve">lows users to surface mount Pb-free and halogen-free packages onto Pb-based </w:t>
      </w:r>
      <w:r w:rsidR="008E3983" w:rsidRPr="008E3983">
        <w:rPr>
          <w:rFonts w:cs="Arial"/>
          <w:lang w:val="en"/>
        </w:rPr>
        <w:t>PCBs and/or u</w:t>
      </w:r>
      <w:r w:rsidR="00F57CC4">
        <w:rPr>
          <w:rFonts w:cs="Arial"/>
          <w:lang w:val="en"/>
        </w:rPr>
        <w:t>se Pb-free and halogen-free packaging with Pb-</w:t>
      </w:r>
      <w:r w:rsidR="008E3983" w:rsidRPr="008E3983">
        <w:rPr>
          <w:rFonts w:cs="Arial"/>
          <w:lang w:val="en"/>
        </w:rPr>
        <w:t>containing solders. User</w:t>
      </w:r>
      <w:r w:rsidR="00F57CC4">
        <w:rPr>
          <w:rFonts w:cs="Arial"/>
          <w:lang w:val="en"/>
        </w:rPr>
        <w:t>s can now procure a single, Pb</w:t>
      </w:r>
      <w:r w:rsidR="008E3983" w:rsidRPr="008E3983">
        <w:rPr>
          <w:rFonts w:cs="Arial"/>
          <w:lang w:val="en"/>
        </w:rPr>
        <w:t>-free or halogen-free component from Lattice and u</w:t>
      </w:r>
      <w:r w:rsidR="00F57CC4">
        <w:rPr>
          <w:rFonts w:cs="Arial"/>
          <w:lang w:val="en"/>
        </w:rPr>
        <w:t>se it in either a Pb or Pb</w:t>
      </w:r>
      <w:r w:rsidR="008E3983" w:rsidRPr="008E3983">
        <w:rPr>
          <w:rFonts w:cs="Arial"/>
          <w:lang w:val="en"/>
        </w:rPr>
        <w:t xml:space="preserve"> free manufacturing environment </w:t>
      </w:r>
      <w:r w:rsidR="008E3983" w:rsidRPr="008E3983">
        <w:rPr>
          <w:rFonts w:cs="Arial"/>
          <w:lang w:val="en"/>
        </w:rPr>
        <w:lastRenderedPageBreak/>
        <w:t>without any issues. This capability greatly simplifies the inventory management challenges associated with m</w:t>
      </w:r>
      <w:r w:rsidR="00A47175">
        <w:rPr>
          <w:rFonts w:cs="Arial"/>
          <w:lang w:val="en"/>
        </w:rPr>
        <w:t>igration from conventional Pb-based to Pb-</w:t>
      </w:r>
      <w:r w:rsidR="008E3983" w:rsidRPr="008E3983">
        <w:rPr>
          <w:rFonts w:cs="Arial"/>
          <w:lang w:val="en"/>
        </w:rPr>
        <w:t>free manufacturing.</w:t>
      </w:r>
    </w:p>
    <w:p w14:paraId="4355A4ED" w14:textId="55283526" w:rsidR="00611541" w:rsidRDefault="00E2429B" w:rsidP="008E3983">
      <w:pPr>
        <w:spacing w:after="0" w:line="240" w:lineRule="auto"/>
        <w:rPr>
          <w:rFonts w:cstheme="minorHAnsi"/>
        </w:rPr>
      </w:pPr>
      <w:r w:rsidRPr="00E2429B">
        <w:rPr>
          <w:rFonts w:cstheme="minorHAnsi"/>
        </w:rPr>
        <w:t xml:space="preserve">A suggested replacement OPN which is pinout-, voltage- and backward-compatible can </w:t>
      </w:r>
      <w:r>
        <w:rPr>
          <w:rFonts w:cstheme="minorHAnsi"/>
        </w:rPr>
        <w:t>replace the discontinued SnPb OPN directly without modifying the circuit board or manufacturing process in any way.</w:t>
      </w:r>
      <w:r w:rsidRPr="00E2429B">
        <w:rPr>
          <w:rFonts w:cstheme="minorHAnsi"/>
        </w:rPr>
        <w:t xml:space="preserve"> </w:t>
      </w:r>
    </w:p>
    <w:p w14:paraId="01EAE210" w14:textId="7FA8FEB8" w:rsidR="00BD7882" w:rsidRDefault="00BD7882" w:rsidP="008E3983">
      <w:pPr>
        <w:spacing w:after="0" w:line="240" w:lineRule="auto"/>
        <w:rPr>
          <w:rFonts w:cstheme="minorHAnsi"/>
        </w:rPr>
      </w:pPr>
    </w:p>
    <w:p w14:paraId="6233FE20" w14:textId="6061BD75" w:rsidR="00BD7882" w:rsidRPr="00FF75D2" w:rsidRDefault="00BD7882" w:rsidP="008E3983">
      <w:pPr>
        <w:spacing w:after="0" w:line="240" w:lineRule="auto"/>
        <w:rPr>
          <w:rFonts w:cstheme="minorHAnsi"/>
          <w:b/>
        </w:rPr>
      </w:pPr>
      <w:r w:rsidRPr="00FF75D2">
        <w:rPr>
          <w:rFonts w:cstheme="minorHAnsi"/>
          <w:b/>
        </w:rPr>
        <w:t xml:space="preserve">Q: </w:t>
      </w:r>
      <w:r w:rsidR="00FF75D2" w:rsidRPr="00FF75D2">
        <w:rPr>
          <w:rFonts w:cstheme="minorHAnsi"/>
          <w:b/>
        </w:rPr>
        <w:t xml:space="preserve">If the </w:t>
      </w:r>
      <w:r w:rsidRPr="00FF75D2">
        <w:rPr>
          <w:rFonts w:cstheme="minorHAnsi"/>
          <w:b/>
        </w:rPr>
        <w:t>suggested replacement OPN is NOT backward-compatible</w:t>
      </w:r>
      <w:r w:rsidR="00FF75D2" w:rsidRPr="00FF75D2">
        <w:rPr>
          <w:rFonts w:cstheme="minorHAnsi"/>
          <w:b/>
        </w:rPr>
        <w:t>, are there any options?</w:t>
      </w:r>
    </w:p>
    <w:p w14:paraId="38180BB9" w14:textId="1339A1B9" w:rsidR="00BD7882" w:rsidRDefault="00BD7882" w:rsidP="008E3983">
      <w:pPr>
        <w:spacing w:after="0" w:line="240" w:lineRule="auto"/>
        <w:rPr>
          <w:rFonts w:cstheme="minorHAnsi"/>
        </w:rPr>
      </w:pPr>
      <w:r w:rsidRPr="00FF75D2">
        <w:rPr>
          <w:rFonts w:cstheme="minorHAnsi"/>
        </w:rPr>
        <w:t xml:space="preserve">A: </w:t>
      </w:r>
      <w:r w:rsidR="006447C2">
        <w:rPr>
          <w:rFonts w:cstheme="minorHAnsi"/>
        </w:rPr>
        <w:t>Lattice is unable to comment on this.  The user</w:t>
      </w:r>
      <w:r w:rsidR="00FF75D2" w:rsidRPr="00FF75D2">
        <w:rPr>
          <w:rFonts w:cstheme="minorHAnsi"/>
        </w:rPr>
        <w:t xml:space="preserve"> </w:t>
      </w:r>
      <w:r w:rsidR="006447C2">
        <w:rPr>
          <w:rFonts w:cstheme="minorHAnsi"/>
        </w:rPr>
        <w:t>is encouraged to consult their assembly experts to determine what the next best steps are with a pinout- and voltage-compatible OPN which is not Backward-compatible.</w:t>
      </w:r>
    </w:p>
    <w:p w14:paraId="0BD8F6E3" w14:textId="77777777" w:rsidR="002F334A" w:rsidRDefault="002F334A" w:rsidP="008E3983">
      <w:pPr>
        <w:spacing w:after="0" w:line="240" w:lineRule="auto"/>
        <w:rPr>
          <w:rFonts w:cstheme="minorHAnsi"/>
        </w:rPr>
      </w:pPr>
    </w:p>
    <w:p w14:paraId="452A58D5" w14:textId="77777777" w:rsidR="008E3983" w:rsidRPr="00611541" w:rsidRDefault="008E3983" w:rsidP="008E3983">
      <w:pPr>
        <w:spacing w:after="0" w:line="240" w:lineRule="auto"/>
        <w:rPr>
          <w:rFonts w:cstheme="minorHAnsi"/>
          <w:b/>
        </w:rPr>
      </w:pPr>
      <w:r w:rsidRPr="00611541">
        <w:rPr>
          <w:rFonts w:cstheme="minorHAnsi"/>
          <w:b/>
        </w:rPr>
        <w:t>Q: Is there a difference in the solder reflow temperatures between SnPb and Pb-Free manufacturing processes?</w:t>
      </w:r>
    </w:p>
    <w:p w14:paraId="049EAF83" w14:textId="34CF2811" w:rsidR="008E3983" w:rsidRDefault="008E3983" w:rsidP="008E3983">
      <w:pPr>
        <w:spacing w:after="0" w:line="240" w:lineRule="auto"/>
        <w:rPr>
          <w:rFonts w:cstheme="minorHAnsi"/>
        </w:rPr>
      </w:pPr>
      <w:r>
        <w:rPr>
          <w:rFonts w:cstheme="minorHAnsi"/>
        </w:rPr>
        <w:t>A:</w:t>
      </w:r>
      <w:r w:rsidR="00D15B0D">
        <w:rPr>
          <w:rFonts w:cstheme="minorHAnsi"/>
        </w:rPr>
        <w:t xml:space="preserve"> Yes.  Reflow max temperatures will vary by package type, but in general, the SnPb reflow temperatures go as high as 225 – 240°C, whereas the Pb-Free reflow temperatures go as high as 260°C.  For more information on this topic, </w:t>
      </w:r>
      <w:r w:rsidR="00A47175">
        <w:rPr>
          <w:rFonts w:cstheme="minorHAnsi"/>
        </w:rPr>
        <w:t xml:space="preserve">refer to the </w:t>
      </w:r>
      <w:r w:rsidR="00D15B0D">
        <w:rPr>
          <w:rFonts w:cstheme="minorHAnsi"/>
        </w:rPr>
        <w:t xml:space="preserve">Lattice Tech Note </w:t>
      </w:r>
      <w:hyperlink r:id="rId14" w:history="1">
        <w:r w:rsidR="00D15B0D" w:rsidRPr="00862719">
          <w:rPr>
            <w:rStyle w:val="Hyperlink"/>
            <w:rFonts w:cstheme="minorHAnsi"/>
          </w:rPr>
          <w:t>TN10</w:t>
        </w:r>
        <w:r w:rsidR="00D15B0D" w:rsidRPr="00862719">
          <w:rPr>
            <w:rStyle w:val="Hyperlink"/>
            <w:rFonts w:cstheme="minorHAnsi"/>
          </w:rPr>
          <w:t>7</w:t>
        </w:r>
        <w:r w:rsidR="00D15B0D" w:rsidRPr="00862719">
          <w:rPr>
            <w:rStyle w:val="Hyperlink"/>
            <w:rFonts w:cstheme="minorHAnsi"/>
          </w:rPr>
          <w:t>6</w:t>
        </w:r>
      </w:hyperlink>
      <w:r w:rsidR="00D15B0D">
        <w:rPr>
          <w:rFonts w:cstheme="minorHAnsi"/>
        </w:rPr>
        <w:t xml:space="preserve"> entitled “Solder Reflow Guide for Surface Mount Devices”.</w:t>
      </w:r>
    </w:p>
    <w:p w14:paraId="4AE66EC2" w14:textId="77777777" w:rsidR="008E3983" w:rsidRDefault="008E3983" w:rsidP="008E3983">
      <w:pPr>
        <w:spacing w:after="0" w:line="240" w:lineRule="auto"/>
        <w:rPr>
          <w:rFonts w:cstheme="minorHAnsi"/>
        </w:rPr>
      </w:pPr>
    </w:p>
    <w:p w14:paraId="65285E85" w14:textId="5D957404" w:rsidR="00611541" w:rsidRDefault="00611541" w:rsidP="00925724">
      <w:pPr>
        <w:spacing w:after="0" w:line="240" w:lineRule="auto"/>
        <w:rPr>
          <w:rFonts w:cstheme="minorHAnsi"/>
          <w:b/>
        </w:rPr>
      </w:pPr>
      <w:r>
        <w:rPr>
          <w:rFonts w:cstheme="minorHAnsi"/>
          <w:b/>
        </w:rPr>
        <w:t>Q: Why are some Suggested Replacement OPNs Backward-Compatible and other</w:t>
      </w:r>
      <w:r w:rsidR="002F334A">
        <w:rPr>
          <w:rFonts w:cstheme="minorHAnsi"/>
          <w:b/>
        </w:rPr>
        <w:t>s</w:t>
      </w:r>
      <w:r>
        <w:rPr>
          <w:rFonts w:cstheme="minorHAnsi"/>
          <w:b/>
        </w:rPr>
        <w:t xml:space="preserve"> not?</w:t>
      </w:r>
      <w:r w:rsidR="001821D0">
        <w:rPr>
          <w:rFonts w:cstheme="minorHAnsi"/>
          <w:b/>
        </w:rPr>
        <w:t xml:space="preserve">  What makes a device Backwards-</w:t>
      </w:r>
      <w:r>
        <w:rPr>
          <w:rFonts w:cstheme="minorHAnsi"/>
          <w:b/>
        </w:rPr>
        <w:t>Compatible?</w:t>
      </w:r>
    </w:p>
    <w:p w14:paraId="6FEF0C97" w14:textId="707978F4" w:rsidR="00611541" w:rsidRDefault="00611541" w:rsidP="00925724">
      <w:pPr>
        <w:spacing w:after="0" w:line="240" w:lineRule="auto"/>
        <w:rPr>
          <w:rFonts w:cstheme="minorHAnsi"/>
          <w:b/>
        </w:rPr>
      </w:pPr>
      <w:r>
        <w:rPr>
          <w:rFonts w:cstheme="minorHAnsi"/>
          <w:b/>
        </w:rPr>
        <w:t>A:</w:t>
      </w:r>
      <w:r w:rsidR="00E2429B">
        <w:rPr>
          <w:rFonts w:cstheme="minorHAnsi"/>
          <w:b/>
        </w:rPr>
        <w:t xml:space="preserve"> </w:t>
      </w:r>
      <w:r w:rsidR="00E2429B" w:rsidRPr="00E2429B">
        <w:rPr>
          <w:rFonts w:cstheme="minorHAnsi"/>
        </w:rPr>
        <w:t>Backward-compatibility is determined by package type.  Packages with leads (TQFP, PQFP etc.) support backward</w:t>
      </w:r>
      <w:r w:rsidR="001821D0">
        <w:rPr>
          <w:rFonts w:cstheme="minorHAnsi"/>
        </w:rPr>
        <w:t>-</w:t>
      </w:r>
      <w:r w:rsidR="00E2429B" w:rsidRPr="00E2429B">
        <w:rPr>
          <w:rFonts w:cstheme="minorHAnsi"/>
        </w:rPr>
        <w:t xml:space="preserve">compatibility.  Packages with balls (BGA, ftBGA etc.) </w:t>
      </w:r>
      <w:r w:rsidR="00D15B0D">
        <w:rPr>
          <w:rFonts w:cstheme="minorHAnsi"/>
        </w:rPr>
        <w:t xml:space="preserve">will not reflow properly with the lower temperatures </w:t>
      </w:r>
      <w:r w:rsidR="00E2429B" w:rsidRPr="00E2429B">
        <w:rPr>
          <w:rFonts w:cstheme="minorHAnsi"/>
        </w:rPr>
        <w:t>of the SnPb manufacturing process</w:t>
      </w:r>
      <w:r w:rsidR="00E2429B">
        <w:rPr>
          <w:rFonts w:cstheme="minorHAnsi"/>
        </w:rPr>
        <w:t>.</w:t>
      </w:r>
      <w:r w:rsidR="008E3983">
        <w:rPr>
          <w:rFonts w:cstheme="minorHAnsi"/>
        </w:rPr>
        <w:t xml:space="preserve">  The spreadsheet link on the PCN in the Affected Products section clearly identifies whic</w:t>
      </w:r>
      <w:r w:rsidR="001821D0">
        <w:rPr>
          <w:rFonts w:cstheme="minorHAnsi"/>
        </w:rPr>
        <w:t>h replacement OPNs are backward-</w:t>
      </w:r>
      <w:r w:rsidR="008E3983">
        <w:rPr>
          <w:rFonts w:cstheme="minorHAnsi"/>
        </w:rPr>
        <w:t>compatible</w:t>
      </w:r>
      <w:r w:rsidR="00D15B0D">
        <w:rPr>
          <w:rFonts w:cstheme="minorHAnsi"/>
        </w:rPr>
        <w:t>.</w:t>
      </w:r>
    </w:p>
    <w:p w14:paraId="5FA3C45E" w14:textId="77777777" w:rsidR="00925724" w:rsidRPr="00611541" w:rsidRDefault="00925724" w:rsidP="00D03535">
      <w:pPr>
        <w:spacing w:after="0" w:line="240" w:lineRule="auto"/>
        <w:rPr>
          <w:rFonts w:cstheme="minorHAnsi"/>
        </w:rPr>
      </w:pPr>
    </w:p>
    <w:p w14:paraId="3701185D" w14:textId="77777777" w:rsidR="00925724" w:rsidRDefault="00925724" w:rsidP="00D03535">
      <w:pPr>
        <w:spacing w:after="0" w:line="240" w:lineRule="auto"/>
        <w:rPr>
          <w:rFonts w:cstheme="minorHAnsi"/>
        </w:rPr>
      </w:pPr>
    </w:p>
    <w:p w14:paraId="57BFED3C" w14:textId="77777777" w:rsidR="00925724" w:rsidRDefault="00925724" w:rsidP="00D03535">
      <w:pPr>
        <w:spacing w:after="0" w:line="240" w:lineRule="auto"/>
        <w:rPr>
          <w:rFonts w:cstheme="minorHAnsi"/>
        </w:rPr>
      </w:pPr>
    </w:p>
    <w:p w14:paraId="40AE5A2D" w14:textId="77777777" w:rsidR="00D03535" w:rsidRPr="00EA4EE9" w:rsidRDefault="00D03535" w:rsidP="00EA4EE9">
      <w:pPr>
        <w:spacing w:after="0" w:line="240" w:lineRule="auto"/>
        <w:rPr>
          <w:rFonts w:cstheme="minorHAnsi"/>
        </w:rPr>
      </w:pPr>
    </w:p>
    <w:p w14:paraId="4866F4AC" w14:textId="77777777" w:rsidR="00A8072E" w:rsidRPr="00EA4EE9" w:rsidRDefault="00A8072E" w:rsidP="00EA4EE9">
      <w:pPr>
        <w:spacing w:after="0" w:line="240" w:lineRule="auto"/>
        <w:rPr>
          <w:rFonts w:cstheme="minorHAnsi"/>
        </w:rPr>
      </w:pPr>
    </w:p>
    <w:p w14:paraId="3CCE961E" w14:textId="1A5BA137" w:rsidR="00A8072E" w:rsidRPr="00EA4EE9" w:rsidRDefault="00A8072E" w:rsidP="00EA4EE9">
      <w:pPr>
        <w:spacing w:after="0" w:line="240" w:lineRule="auto"/>
        <w:rPr>
          <w:rFonts w:cstheme="minorHAnsi"/>
        </w:rPr>
      </w:pPr>
      <w:r w:rsidRPr="00EA4EE9">
        <w:rPr>
          <w:rFonts w:cstheme="minorHAnsi"/>
        </w:rPr>
        <w:t xml:space="preserve"> </w:t>
      </w:r>
    </w:p>
    <w:p w14:paraId="7A0EDA40" w14:textId="77777777" w:rsidR="00A8072E" w:rsidRPr="00EA4EE9" w:rsidRDefault="00A8072E" w:rsidP="00EA4EE9">
      <w:pPr>
        <w:spacing w:after="0" w:line="240" w:lineRule="auto"/>
        <w:rPr>
          <w:rFonts w:cstheme="minorHAnsi"/>
        </w:rPr>
      </w:pPr>
    </w:p>
    <w:p w14:paraId="21012191" w14:textId="77777777" w:rsidR="00A8072E" w:rsidRPr="00EA4EE9" w:rsidRDefault="00A8072E" w:rsidP="00EA4EE9">
      <w:pPr>
        <w:spacing w:after="0" w:line="240" w:lineRule="auto"/>
        <w:rPr>
          <w:rFonts w:cstheme="minorHAnsi"/>
          <w:sz w:val="16"/>
        </w:rPr>
      </w:pPr>
    </w:p>
    <w:p w14:paraId="24E11980" w14:textId="77777777" w:rsidR="009B2262" w:rsidRPr="00EA4EE9" w:rsidRDefault="009B2262" w:rsidP="00EA4EE9">
      <w:pPr>
        <w:spacing w:after="0" w:line="240" w:lineRule="auto"/>
        <w:rPr>
          <w:rFonts w:cstheme="minorHAnsi"/>
          <w:sz w:val="16"/>
        </w:rPr>
      </w:pPr>
    </w:p>
    <w:sectPr w:rsidR="009B2262" w:rsidRPr="00EA4EE9" w:rsidSect="005354C4">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5EA5F" w14:textId="77777777" w:rsidR="00A742FA" w:rsidRDefault="00A742FA" w:rsidP="00364EEF">
      <w:pPr>
        <w:spacing w:after="0" w:line="240" w:lineRule="auto"/>
      </w:pPr>
      <w:r>
        <w:separator/>
      </w:r>
    </w:p>
  </w:endnote>
  <w:endnote w:type="continuationSeparator" w:id="0">
    <w:p w14:paraId="1EA5EA60" w14:textId="77777777" w:rsidR="00A742FA" w:rsidRDefault="00A742FA" w:rsidP="00364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9666516"/>
      <w:docPartObj>
        <w:docPartGallery w:val="Page Numbers (Bottom of Page)"/>
        <w:docPartUnique/>
      </w:docPartObj>
    </w:sdtPr>
    <w:sdtEndPr>
      <w:rPr>
        <w:noProof/>
      </w:rPr>
    </w:sdtEndPr>
    <w:sdtContent>
      <w:p w14:paraId="1EA5EA65" w14:textId="77777777" w:rsidR="00A742FA" w:rsidRDefault="00A742FA">
        <w:pPr>
          <w:pStyle w:val="Footer"/>
        </w:pPr>
        <w:r>
          <w:t xml:space="preserve">Page | </w:t>
        </w:r>
        <w:r>
          <w:fldChar w:fldCharType="begin"/>
        </w:r>
        <w:r>
          <w:instrText xml:space="preserve"> PAGE   \* MERGEFORMAT </w:instrText>
        </w:r>
        <w:r>
          <w:fldChar w:fldCharType="separate"/>
        </w:r>
        <w:r w:rsidR="001F35B1">
          <w:rPr>
            <w:noProof/>
          </w:rPr>
          <w:t>1</w:t>
        </w:r>
        <w:r>
          <w:rPr>
            <w:noProof/>
          </w:rPr>
          <w:fldChar w:fldCharType="end"/>
        </w:r>
      </w:p>
    </w:sdtContent>
  </w:sdt>
  <w:p w14:paraId="1EA5EA66" w14:textId="77777777" w:rsidR="00A742FA" w:rsidRDefault="00A742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5EA5D" w14:textId="77777777" w:rsidR="00A742FA" w:rsidRDefault="00A742FA" w:rsidP="00364EEF">
      <w:pPr>
        <w:spacing w:after="0" w:line="240" w:lineRule="auto"/>
      </w:pPr>
      <w:r>
        <w:separator/>
      </w:r>
    </w:p>
  </w:footnote>
  <w:footnote w:type="continuationSeparator" w:id="0">
    <w:p w14:paraId="1EA5EA5E" w14:textId="77777777" w:rsidR="00A742FA" w:rsidRDefault="00A742FA" w:rsidP="00364E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5EA61" w14:textId="26576254" w:rsidR="00A742FA" w:rsidRDefault="009B2262" w:rsidP="001363F7">
    <w:pPr>
      <w:pStyle w:val="Header"/>
      <w:jc w:val="center"/>
    </w:pPr>
    <w:r>
      <w:t>PCN#02A-15</w:t>
    </w:r>
    <w:r w:rsidR="00A742FA">
      <w:t xml:space="preserve"> – </w:t>
    </w:r>
    <w:r w:rsidR="00EA4EE9">
      <w:t>SnPb (Tin/Lead) OP</w:t>
    </w:r>
    <w:r>
      <w:t>Ns and Select Mature Family</w:t>
    </w:r>
    <w:r w:rsidR="00A742FA">
      <w:t xml:space="preserve"> Discontinuance</w:t>
    </w:r>
  </w:p>
  <w:p w14:paraId="1EA5EA63" w14:textId="1BCD03B1" w:rsidR="00A742FA" w:rsidRDefault="00A742FA" w:rsidP="00653E94">
    <w:pPr>
      <w:pStyle w:val="Header"/>
      <w:jc w:val="center"/>
    </w:pPr>
    <w:r>
      <w:t>Frequently Asked Questions</w:t>
    </w:r>
  </w:p>
  <w:p w14:paraId="1EA5EA64" w14:textId="77777777" w:rsidR="00A742FA" w:rsidRPr="001363F7" w:rsidRDefault="00A742FA" w:rsidP="001363F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E3A8D"/>
    <w:multiLevelType w:val="hybridMultilevel"/>
    <w:tmpl w:val="E0C22DBE"/>
    <w:lvl w:ilvl="0" w:tplc="538ED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D41422"/>
    <w:multiLevelType w:val="hybridMultilevel"/>
    <w:tmpl w:val="FBF6B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A91129"/>
    <w:multiLevelType w:val="hybridMultilevel"/>
    <w:tmpl w:val="E6BA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DD409A"/>
    <w:multiLevelType w:val="hybridMultilevel"/>
    <w:tmpl w:val="2CAE6504"/>
    <w:lvl w:ilvl="0" w:tplc="B4522F68">
      <w:start w:val="1"/>
      <w:numFmt w:val="bullet"/>
      <w:lvlText w:val="•"/>
      <w:lvlJc w:val="left"/>
      <w:pPr>
        <w:tabs>
          <w:tab w:val="num" w:pos="720"/>
        </w:tabs>
        <w:ind w:left="720" w:hanging="360"/>
      </w:pPr>
      <w:rPr>
        <w:rFonts w:ascii="Arial" w:hAnsi="Arial" w:hint="default"/>
      </w:rPr>
    </w:lvl>
    <w:lvl w:ilvl="1" w:tplc="EFB0C06A" w:tentative="1">
      <w:start w:val="1"/>
      <w:numFmt w:val="bullet"/>
      <w:lvlText w:val="•"/>
      <w:lvlJc w:val="left"/>
      <w:pPr>
        <w:tabs>
          <w:tab w:val="num" w:pos="1440"/>
        </w:tabs>
        <w:ind w:left="1440" w:hanging="360"/>
      </w:pPr>
      <w:rPr>
        <w:rFonts w:ascii="Arial" w:hAnsi="Arial" w:hint="default"/>
      </w:rPr>
    </w:lvl>
    <w:lvl w:ilvl="2" w:tplc="4E16035E" w:tentative="1">
      <w:start w:val="1"/>
      <w:numFmt w:val="bullet"/>
      <w:lvlText w:val="•"/>
      <w:lvlJc w:val="left"/>
      <w:pPr>
        <w:tabs>
          <w:tab w:val="num" w:pos="2160"/>
        </w:tabs>
        <w:ind w:left="2160" w:hanging="360"/>
      </w:pPr>
      <w:rPr>
        <w:rFonts w:ascii="Arial" w:hAnsi="Arial" w:hint="default"/>
      </w:rPr>
    </w:lvl>
    <w:lvl w:ilvl="3" w:tplc="A4480652" w:tentative="1">
      <w:start w:val="1"/>
      <w:numFmt w:val="bullet"/>
      <w:lvlText w:val="•"/>
      <w:lvlJc w:val="left"/>
      <w:pPr>
        <w:tabs>
          <w:tab w:val="num" w:pos="2880"/>
        </w:tabs>
        <w:ind w:left="2880" w:hanging="360"/>
      </w:pPr>
      <w:rPr>
        <w:rFonts w:ascii="Arial" w:hAnsi="Arial" w:hint="default"/>
      </w:rPr>
    </w:lvl>
    <w:lvl w:ilvl="4" w:tplc="DCD45970" w:tentative="1">
      <w:start w:val="1"/>
      <w:numFmt w:val="bullet"/>
      <w:lvlText w:val="•"/>
      <w:lvlJc w:val="left"/>
      <w:pPr>
        <w:tabs>
          <w:tab w:val="num" w:pos="3600"/>
        </w:tabs>
        <w:ind w:left="3600" w:hanging="360"/>
      </w:pPr>
      <w:rPr>
        <w:rFonts w:ascii="Arial" w:hAnsi="Arial" w:hint="default"/>
      </w:rPr>
    </w:lvl>
    <w:lvl w:ilvl="5" w:tplc="716CAF72" w:tentative="1">
      <w:start w:val="1"/>
      <w:numFmt w:val="bullet"/>
      <w:lvlText w:val="•"/>
      <w:lvlJc w:val="left"/>
      <w:pPr>
        <w:tabs>
          <w:tab w:val="num" w:pos="4320"/>
        </w:tabs>
        <w:ind w:left="4320" w:hanging="360"/>
      </w:pPr>
      <w:rPr>
        <w:rFonts w:ascii="Arial" w:hAnsi="Arial" w:hint="default"/>
      </w:rPr>
    </w:lvl>
    <w:lvl w:ilvl="6" w:tplc="2E246162" w:tentative="1">
      <w:start w:val="1"/>
      <w:numFmt w:val="bullet"/>
      <w:lvlText w:val="•"/>
      <w:lvlJc w:val="left"/>
      <w:pPr>
        <w:tabs>
          <w:tab w:val="num" w:pos="5040"/>
        </w:tabs>
        <w:ind w:left="5040" w:hanging="360"/>
      </w:pPr>
      <w:rPr>
        <w:rFonts w:ascii="Arial" w:hAnsi="Arial" w:hint="default"/>
      </w:rPr>
    </w:lvl>
    <w:lvl w:ilvl="7" w:tplc="7B3C1EE4" w:tentative="1">
      <w:start w:val="1"/>
      <w:numFmt w:val="bullet"/>
      <w:lvlText w:val="•"/>
      <w:lvlJc w:val="left"/>
      <w:pPr>
        <w:tabs>
          <w:tab w:val="num" w:pos="5760"/>
        </w:tabs>
        <w:ind w:left="5760" w:hanging="360"/>
      </w:pPr>
      <w:rPr>
        <w:rFonts w:ascii="Arial" w:hAnsi="Arial" w:hint="default"/>
      </w:rPr>
    </w:lvl>
    <w:lvl w:ilvl="8" w:tplc="5CBE5AB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665"/>
    <w:rsid w:val="000109AD"/>
    <w:rsid w:val="00023275"/>
    <w:rsid w:val="0009076A"/>
    <w:rsid w:val="000A0F00"/>
    <w:rsid w:val="000B7FC7"/>
    <w:rsid w:val="000D7068"/>
    <w:rsid w:val="001363F7"/>
    <w:rsid w:val="001737F8"/>
    <w:rsid w:val="001821D0"/>
    <w:rsid w:val="00184943"/>
    <w:rsid w:val="001A5F91"/>
    <w:rsid w:val="001B5468"/>
    <w:rsid w:val="001F1299"/>
    <w:rsid w:val="001F35B1"/>
    <w:rsid w:val="002054EA"/>
    <w:rsid w:val="00251015"/>
    <w:rsid w:val="00255EFF"/>
    <w:rsid w:val="002676DF"/>
    <w:rsid w:val="00282A8D"/>
    <w:rsid w:val="002F334A"/>
    <w:rsid w:val="0033296A"/>
    <w:rsid w:val="003530A7"/>
    <w:rsid w:val="00364EEF"/>
    <w:rsid w:val="00384D42"/>
    <w:rsid w:val="003F0501"/>
    <w:rsid w:val="003F7159"/>
    <w:rsid w:val="00404355"/>
    <w:rsid w:val="004229E6"/>
    <w:rsid w:val="00422C5A"/>
    <w:rsid w:val="00446FF6"/>
    <w:rsid w:val="004538F8"/>
    <w:rsid w:val="004639B8"/>
    <w:rsid w:val="0049297B"/>
    <w:rsid w:val="004F7096"/>
    <w:rsid w:val="005354C4"/>
    <w:rsid w:val="005453F7"/>
    <w:rsid w:val="00567D29"/>
    <w:rsid w:val="005A629D"/>
    <w:rsid w:val="005C6F8C"/>
    <w:rsid w:val="006017EC"/>
    <w:rsid w:val="00611541"/>
    <w:rsid w:val="00613259"/>
    <w:rsid w:val="00636D10"/>
    <w:rsid w:val="006444C7"/>
    <w:rsid w:val="006447C2"/>
    <w:rsid w:val="00653E94"/>
    <w:rsid w:val="00685CBA"/>
    <w:rsid w:val="006A00EA"/>
    <w:rsid w:val="006A573B"/>
    <w:rsid w:val="006B5EBC"/>
    <w:rsid w:val="006C460F"/>
    <w:rsid w:val="006E78F6"/>
    <w:rsid w:val="00731DF7"/>
    <w:rsid w:val="007446B1"/>
    <w:rsid w:val="00745B22"/>
    <w:rsid w:val="00757637"/>
    <w:rsid w:val="007C30BF"/>
    <w:rsid w:val="007C684C"/>
    <w:rsid w:val="0083257B"/>
    <w:rsid w:val="00862719"/>
    <w:rsid w:val="008827DE"/>
    <w:rsid w:val="00885510"/>
    <w:rsid w:val="008A6A1C"/>
    <w:rsid w:val="008B16D3"/>
    <w:rsid w:val="008B5E3A"/>
    <w:rsid w:val="008B6669"/>
    <w:rsid w:val="008D19FB"/>
    <w:rsid w:val="008E1222"/>
    <w:rsid w:val="008E3983"/>
    <w:rsid w:val="00925724"/>
    <w:rsid w:val="009746C4"/>
    <w:rsid w:val="009841F0"/>
    <w:rsid w:val="009A0BCF"/>
    <w:rsid w:val="009B1BC9"/>
    <w:rsid w:val="009B2262"/>
    <w:rsid w:val="00A43CA8"/>
    <w:rsid w:val="00A47175"/>
    <w:rsid w:val="00A742FA"/>
    <w:rsid w:val="00A8072E"/>
    <w:rsid w:val="00A91A3D"/>
    <w:rsid w:val="00AA097A"/>
    <w:rsid w:val="00AD46FB"/>
    <w:rsid w:val="00AF4B10"/>
    <w:rsid w:val="00B0632A"/>
    <w:rsid w:val="00B14D1A"/>
    <w:rsid w:val="00B43CC7"/>
    <w:rsid w:val="00B66172"/>
    <w:rsid w:val="00B70A5B"/>
    <w:rsid w:val="00B74D3D"/>
    <w:rsid w:val="00B8104D"/>
    <w:rsid w:val="00B962C0"/>
    <w:rsid w:val="00B971F7"/>
    <w:rsid w:val="00BB4692"/>
    <w:rsid w:val="00BD7882"/>
    <w:rsid w:val="00BE66FA"/>
    <w:rsid w:val="00C03BF9"/>
    <w:rsid w:val="00C16914"/>
    <w:rsid w:val="00C172E2"/>
    <w:rsid w:val="00C20280"/>
    <w:rsid w:val="00C312AC"/>
    <w:rsid w:val="00C54519"/>
    <w:rsid w:val="00C86A2C"/>
    <w:rsid w:val="00CB6322"/>
    <w:rsid w:val="00CC1AF4"/>
    <w:rsid w:val="00CD03FD"/>
    <w:rsid w:val="00D03535"/>
    <w:rsid w:val="00D11AD3"/>
    <w:rsid w:val="00D15B0D"/>
    <w:rsid w:val="00D22AD4"/>
    <w:rsid w:val="00D369D0"/>
    <w:rsid w:val="00D476D5"/>
    <w:rsid w:val="00D71288"/>
    <w:rsid w:val="00D828E6"/>
    <w:rsid w:val="00D86251"/>
    <w:rsid w:val="00DA2606"/>
    <w:rsid w:val="00DA7665"/>
    <w:rsid w:val="00DB1447"/>
    <w:rsid w:val="00DD1A6E"/>
    <w:rsid w:val="00DD2777"/>
    <w:rsid w:val="00DE51FA"/>
    <w:rsid w:val="00E02617"/>
    <w:rsid w:val="00E2429B"/>
    <w:rsid w:val="00E628F7"/>
    <w:rsid w:val="00E6645D"/>
    <w:rsid w:val="00E81A80"/>
    <w:rsid w:val="00EA4EE9"/>
    <w:rsid w:val="00EB625F"/>
    <w:rsid w:val="00EC31C1"/>
    <w:rsid w:val="00ED151E"/>
    <w:rsid w:val="00EE4B84"/>
    <w:rsid w:val="00EE62ED"/>
    <w:rsid w:val="00EF2850"/>
    <w:rsid w:val="00F12F93"/>
    <w:rsid w:val="00F159C2"/>
    <w:rsid w:val="00F42BFD"/>
    <w:rsid w:val="00F478B9"/>
    <w:rsid w:val="00F57CC4"/>
    <w:rsid w:val="00F621C1"/>
    <w:rsid w:val="00F643C9"/>
    <w:rsid w:val="00F66343"/>
    <w:rsid w:val="00F74040"/>
    <w:rsid w:val="00F76664"/>
    <w:rsid w:val="00F852B0"/>
    <w:rsid w:val="00FA54BB"/>
    <w:rsid w:val="00FE2925"/>
    <w:rsid w:val="00FF6E1D"/>
    <w:rsid w:val="00FF7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5EA30"/>
  <w15:docId w15:val="{DE716DEB-5C9C-4ECA-97DB-2196C4E0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222"/>
    <w:pPr>
      <w:ind w:left="720"/>
      <w:contextualSpacing/>
    </w:pPr>
  </w:style>
  <w:style w:type="paragraph" w:styleId="NormalWeb">
    <w:name w:val="Normal (Web)"/>
    <w:basedOn w:val="Normal"/>
    <w:uiPriority w:val="99"/>
    <w:semiHidden/>
    <w:unhideWhenUsed/>
    <w:rsid w:val="00E6645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4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EEF"/>
  </w:style>
  <w:style w:type="paragraph" w:styleId="Footer">
    <w:name w:val="footer"/>
    <w:basedOn w:val="Normal"/>
    <w:link w:val="FooterChar"/>
    <w:uiPriority w:val="99"/>
    <w:unhideWhenUsed/>
    <w:rsid w:val="00364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EEF"/>
  </w:style>
  <w:style w:type="paragraph" w:styleId="BalloonText">
    <w:name w:val="Balloon Text"/>
    <w:basedOn w:val="Normal"/>
    <w:link w:val="BalloonTextChar"/>
    <w:uiPriority w:val="99"/>
    <w:semiHidden/>
    <w:unhideWhenUsed/>
    <w:rsid w:val="008B5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E3A"/>
    <w:rPr>
      <w:rFonts w:ascii="Tahoma" w:hAnsi="Tahoma" w:cs="Tahoma"/>
      <w:sz w:val="16"/>
      <w:szCs w:val="16"/>
    </w:rPr>
  </w:style>
  <w:style w:type="character" w:styleId="Hyperlink">
    <w:name w:val="Hyperlink"/>
    <w:basedOn w:val="DefaultParagraphFont"/>
    <w:uiPriority w:val="99"/>
    <w:unhideWhenUsed/>
    <w:rsid w:val="00E81A80"/>
    <w:rPr>
      <w:color w:val="0000FF" w:themeColor="hyperlink"/>
      <w:u w:val="single"/>
    </w:rPr>
  </w:style>
  <w:style w:type="character" w:styleId="FollowedHyperlink">
    <w:name w:val="FollowedHyperlink"/>
    <w:basedOn w:val="DefaultParagraphFont"/>
    <w:uiPriority w:val="99"/>
    <w:semiHidden/>
    <w:unhideWhenUsed/>
    <w:rsid w:val="008627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82774">
      <w:bodyDiv w:val="1"/>
      <w:marLeft w:val="0"/>
      <w:marRight w:val="0"/>
      <w:marTop w:val="0"/>
      <w:marBottom w:val="0"/>
      <w:divBdr>
        <w:top w:val="none" w:sz="0" w:space="0" w:color="auto"/>
        <w:left w:val="none" w:sz="0" w:space="0" w:color="auto"/>
        <w:bottom w:val="none" w:sz="0" w:space="0" w:color="auto"/>
        <w:right w:val="none" w:sz="0" w:space="0" w:color="auto"/>
      </w:divBdr>
    </w:div>
    <w:div w:id="1785149636">
      <w:bodyDiv w:val="1"/>
      <w:marLeft w:val="0"/>
      <w:marRight w:val="0"/>
      <w:marTop w:val="0"/>
      <w:marBottom w:val="0"/>
      <w:divBdr>
        <w:top w:val="none" w:sz="0" w:space="0" w:color="auto"/>
        <w:left w:val="none" w:sz="0" w:space="0" w:color="auto"/>
        <w:bottom w:val="none" w:sz="0" w:space="0" w:color="auto"/>
        <w:right w:val="none" w:sz="0" w:space="0" w:color="auto"/>
      </w:divBdr>
      <w:divsChild>
        <w:div w:id="1701011497">
          <w:marLeft w:val="547"/>
          <w:marRight w:val="0"/>
          <w:marTop w:val="0"/>
          <w:marBottom w:val="120"/>
          <w:divBdr>
            <w:top w:val="none" w:sz="0" w:space="0" w:color="auto"/>
            <w:left w:val="none" w:sz="0" w:space="0" w:color="auto"/>
            <w:bottom w:val="none" w:sz="0" w:space="0" w:color="auto"/>
            <w:right w:val="none" w:sz="0" w:space="0" w:color="auto"/>
          </w:divBdr>
        </w:div>
        <w:div w:id="178667926">
          <w:marLeft w:val="547"/>
          <w:marRight w:val="0"/>
          <w:marTop w:val="0"/>
          <w:marBottom w:val="120"/>
          <w:divBdr>
            <w:top w:val="none" w:sz="0" w:space="0" w:color="auto"/>
            <w:left w:val="none" w:sz="0" w:space="0" w:color="auto"/>
            <w:bottom w:val="none" w:sz="0" w:space="0" w:color="auto"/>
            <w:right w:val="none" w:sz="0" w:space="0" w:color="auto"/>
          </w:divBdr>
        </w:div>
        <w:div w:id="1277716872">
          <w:marLeft w:val="547"/>
          <w:marRight w:val="0"/>
          <w:marTop w:val="0"/>
          <w:marBottom w:val="120"/>
          <w:divBdr>
            <w:top w:val="none" w:sz="0" w:space="0" w:color="auto"/>
            <w:left w:val="none" w:sz="0" w:space="0" w:color="auto"/>
            <w:bottom w:val="none" w:sz="0" w:space="0" w:color="auto"/>
            <w:right w:val="none" w:sz="0" w:space="0" w:color="auto"/>
          </w:divBdr>
        </w:div>
        <w:div w:id="309795445">
          <w:marLeft w:val="547"/>
          <w:marRight w:val="0"/>
          <w:marTop w:val="0"/>
          <w:marBottom w:val="120"/>
          <w:divBdr>
            <w:top w:val="none" w:sz="0" w:space="0" w:color="auto"/>
            <w:left w:val="none" w:sz="0" w:space="0" w:color="auto"/>
            <w:bottom w:val="none" w:sz="0" w:space="0" w:color="auto"/>
            <w:right w:val="none" w:sz="0" w:space="0" w:color="auto"/>
          </w:divBdr>
        </w:div>
        <w:div w:id="841698612">
          <w:marLeft w:val="547"/>
          <w:marRight w:val="0"/>
          <w:marTop w:val="0"/>
          <w:marBottom w:val="120"/>
          <w:divBdr>
            <w:top w:val="none" w:sz="0" w:space="0" w:color="auto"/>
            <w:left w:val="none" w:sz="0" w:space="0" w:color="auto"/>
            <w:bottom w:val="none" w:sz="0" w:space="0" w:color="auto"/>
            <w:right w:val="none" w:sz="0" w:space="0" w:color="auto"/>
          </w:divBdr>
        </w:div>
        <w:div w:id="1631090630">
          <w:marLeft w:val="547"/>
          <w:marRight w:val="0"/>
          <w:marTop w:val="0"/>
          <w:marBottom w:val="120"/>
          <w:divBdr>
            <w:top w:val="none" w:sz="0" w:space="0" w:color="auto"/>
            <w:left w:val="none" w:sz="0" w:space="0" w:color="auto"/>
            <w:bottom w:val="none" w:sz="0" w:space="0" w:color="auto"/>
            <w:right w:val="none" w:sz="0" w:space="0" w:color="auto"/>
          </w:divBdr>
        </w:div>
        <w:div w:id="2081634924">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atticesemi.com/view_document?document_id=89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635170202351836875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635170202351836875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635170202351836875</Data>
    <Filter/>
  </Receiver>
</spe:Receivers>
</file>

<file path=customXml/item2.xml><?xml version="1.0" encoding="utf-8"?>
<ct:contentTypeSchema xmlns:ct="http://schemas.microsoft.com/office/2006/metadata/contentType" xmlns:ma="http://schemas.microsoft.com/office/2006/metadata/properties/metaAttributes" ct:_="" ma:_="" ma:contentTypeName="Lattice Document" ma:contentTypeID="0x010100CDE73FDA8585FF43853E5AF29E4EE99100D0B35D41B89E7C4D9D86FB0FB999EFAF" ma:contentTypeVersion="75" ma:contentTypeDescription="" ma:contentTypeScope="" ma:versionID="dbd4d4177de6af9ba46a3245632d0add">
  <xsd:schema xmlns:xsd="http://www.w3.org/2001/XMLSchema" xmlns:xs="http://www.w3.org/2001/XMLSchema" xmlns:p="http://schemas.microsoft.com/office/2006/metadata/properties" xmlns:ns2="099ac604-719e-4f6a-941d-e145b3c95617" xmlns:ns3="3990ac94-838a-4044-947b-4e84593ac4db" xmlns:ns4="72f55b1a-12ec-4b21-95e7-dd6488ff91fe" targetNamespace="http://schemas.microsoft.com/office/2006/metadata/properties" ma:root="true" ma:fieldsID="128e93cce5f3f9bd94b37366341a9073" ns2:_="" ns3:_="" ns4:_="">
    <xsd:import namespace="099ac604-719e-4f6a-941d-e145b3c95617"/>
    <xsd:import namespace="3990ac94-838a-4044-947b-4e84593ac4db"/>
    <xsd:import namespace="72f55b1a-12ec-4b21-95e7-dd6488ff91fe"/>
    <xsd:element name="properties">
      <xsd:complexType>
        <xsd:sequence>
          <xsd:element name="documentManagement">
            <xsd:complexType>
              <xsd:all>
                <xsd:element ref="ns2:Doc_x0020_Author" minOccurs="0"/>
                <xsd:element ref="ns2:Doc_x0020_SourceTaxHTField0" minOccurs="0"/>
                <xsd:element ref="ns2:Control_x0020_CategoryTaxHTField0" minOccurs="0"/>
                <xsd:element ref="ns2:Doc_x0020_LanguageTaxHTField0" minOccurs="0"/>
                <xsd:element ref="ns2:DLPTaxHTField0" minOccurs="0"/>
                <xsd:element ref="ns2:SecurityTaxHTField0" minOccurs="0"/>
                <xsd:element ref="ns2:Primary_x0020_AudienceTaxHTField0" minOccurs="0"/>
                <xsd:element ref="ns2:_dlc_DocId" minOccurs="0"/>
                <xsd:element ref="ns2:_dlc_DocIdUrl" minOccurs="0"/>
                <xsd:element ref="ns2:_dlc_DocIdPersistId" minOccurs="0"/>
                <xsd:element ref="ns3:Responsible_x0020_DepartmentTaxHTField0" minOccurs="0"/>
                <xsd:element ref="ns2:TaxCatchAll" minOccurs="0"/>
                <xsd:element ref="ns2:TaxKeywordTaxHTField" minOccurs="0"/>
                <xsd:element ref="ns2:TaxCatchAllLabel" minOccurs="0"/>
                <xsd:element ref="ns4:PCN_x0023_" minOccurs="0"/>
                <xsd:element ref="ns4:Meeting_x0020_Date" minOccurs="0"/>
                <xsd:element ref="ns4:PCN_x0020_Category" minOccurs="0"/>
                <xsd:element ref="ns4:PIT_x0023_" minOccurs="0"/>
                <xsd:element ref="ns4:PIT_x0020_Description" minOccurs="0"/>
                <xsd:element ref="ns4:Status" minOccurs="0"/>
                <xsd:element ref="ns4:PCN_x0020_Category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ac604-719e-4f6a-941d-e145b3c95617" elementFormDefault="qualified">
    <xsd:import namespace="http://schemas.microsoft.com/office/2006/documentManagement/types"/>
    <xsd:import namespace="http://schemas.microsoft.com/office/infopath/2007/PartnerControls"/>
    <xsd:element name="Doc_x0020_Author" ma:index="2" nillable="true" ma:displayName="Doc Author" ma:description="The person who created the document." ma:internalName="Doc_x0020_Author" ma:readOnly="false">
      <xsd:simpleType>
        <xsd:restriction base="dms:Text">
          <xsd:maxLength value="255"/>
        </xsd:restriction>
      </xsd:simpleType>
    </xsd:element>
    <xsd:element name="Doc_x0020_SourceTaxHTField0" ma:index="12" nillable="true" ma:taxonomy="true" ma:internalName="Doc_x0020_SourceTaxHTField0" ma:taxonomyFieldName="Doc_x0020_Source" ma:displayName="Doc Source" ma:readOnly="false" ma:default="39;#Internal|eb1caaff-0c16-4357-bf62-2771783a4bb0" ma:fieldId="{a737f8f0-1260-436d-b5b5-def0acb16298}" ma:taxonomyMulti="true" ma:sspId="abdc8e59-17fe-4978-b093-0da87e6cf897" ma:termSetId="703f9fa1-4742-4d41-99cf-94c28593469c" ma:anchorId="00000000-0000-0000-0000-000000000000" ma:open="false" ma:isKeyword="false">
      <xsd:complexType>
        <xsd:sequence>
          <xsd:element ref="pc:Terms" minOccurs="0" maxOccurs="1"/>
        </xsd:sequence>
      </xsd:complexType>
    </xsd:element>
    <xsd:element name="Control_x0020_CategoryTaxHTField0" ma:index="14" nillable="true" ma:taxonomy="true" ma:internalName="Control_x0020_CategoryTaxHTField0" ma:taxonomyFieldName="Control_x0020_Category" ma:displayName="Doc Mgt Category" ma:default="55;#Freeform|4bbb72d9-92e3-4b10-922f-52e41b1a8860" ma:fieldId="{e6cf39ff-34ef-4451-8e61-605ff725d895}" ma:sspId="abdc8e59-17fe-4978-b093-0da87e6cf897" ma:termSetId="4952475c-416a-4441-9eb6-b41e1285bc52" ma:anchorId="00000000-0000-0000-0000-000000000000" ma:open="false" ma:isKeyword="false">
      <xsd:complexType>
        <xsd:sequence>
          <xsd:element ref="pc:Terms" minOccurs="0" maxOccurs="1"/>
        </xsd:sequence>
      </xsd:complexType>
    </xsd:element>
    <xsd:element name="Doc_x0020_LanguageTaxHTField0" ma:index="16" nillable="true" ma:taxonomy="true" ma:internalName="Doc_x0020_LanguageTaxHTField0" ma:taxonomyFieldName="Doc_x0020_Language" ma:displayName="Doc Language" ma:readOnly="false" ma:default="43;#English|b3f6ed75-81de-4806-bb4e-9cca516df0b0" ma:fieldId="{09e1ca50-5622-4ab3-8c09-f3c2b3b5d2b6}" ma:sspId="abdc8e59-17fe-4978-b093-0da87e6cf897" ma:termSetId="598ac03e-896e-49e1-8ae7-c8cb19aebdb6" ma:anchorId="00000000-0000-0000-0000-000000000000" ma:open="false" ma:isKeyword="false">
      <xsd:complexType>
        <xsd:sequence>
          <xsd:element ref="pc:Terms" minOccurs="0" maxOccurs="1"/>
        </xsd:sequence>
      </xsd:complexType>
    </xsd:element>
    <xsd:element name="DLPTaxHTField0" ma:index="17" nillable="true" ma:taxonomy="true" ma:internalName="DLPTaxHTField0" ma:taxonomyFieldName="DLP" ma:displayName="DLP Color" ma:default="40;#Green|f5f65e25-8349-45a6-b3a5-dd987efad42d" ma:fieldId="{74f96cfc-3607-4140-99f6-a0e0bd5faa6c}" ma:sspId="abdc8e59-17fe-4978-b093-0da87e6cf897" ma:termSetId="279412fa-fd51-4951-bfa9-b350ea3a7875" ma:anchorId="00000000-0000-0000-0000-000000000000" ma:open="false" ma:isKeyword="false">
      <xsd:complexType>
        <xsd:sequence>
          <xsd:element ref="pc:Terms" minOccurs="0" maxOccurs="1"/>
        </xsd:sequence>
      </xsd:complexType>
    </xsd:element>
    <xsd:element name="SecurityTaxHTField0" ma:index="18" nillable="true" ma:taxonomy="true" ma:internalName="SecurityTaxHTField0" ma:taxonomyFieldName="Security" ma:displayName="Security Level" ma:readOnly="false" ma:default="42;#Company Confidential|c28c6c75-aae0-4edc-9cc2-00c0745aadbc" ma:fieldId="{67ee2789-33ce-44e4-8e67-273379fbd9ea}" ma:sspId="abdc8e59-17fe-4978-b093-0da87e6cf897" ma:termSetId="ef9eef73-006d-4a55-845b-f23adaf7a958" ma:anchorId="00000000-0000-0000-0000-000000000000" ma:open="false" ma:isKeyword="false">
      <xsd:complexType>
        <xsd:sequence>
          <xsd:element ref="pc:Terms" minOccurs="0" maxOccurs="1"/>
        </xsd:sequence>
      </xsd:complexType>
    </xsd:element>
    <xsd:element name="Primary_x0020_AudienceTaxHTField0" ma:index="21" nillable="true" ma:taxonomy="true" ma:internalName="Primary_x0020_AudienceTaxHTField0" ma:taxonomyFieldName="Primary_x0020_Audience" ma:displayName="Primary Audience" ma:readOnly="false" ma:default="38;#Internal|b6a0e0c5-d188-4032-bb54-73009b286b96" ma:fieldId="{6f5b9a81-e416-413c-b085-b7608996cb69}" ma:taxonomyMulti="true" ma:sspId="abdc8e59-17fe-4978-b093-0da87e6cf897" ma:termSetId="daa27281-a553-4db8-96da-48b39c922d17"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description="" ma:hidden="true" ma:list="{2f240fa8-a68f-45a7-bef8-e0753a0b6713}" ma:internalName="TaxCatchAll" ma:showField="CatchAllData" ma:web="3990ac94-838a-4044-947b-4e84593ac4db">
      <xsd:complexType>
        <xsd:complexContent>
          <xsd:extension base="dms:MultiChoiceLookup">
            <xsd:sequence>
              <xsd:element name="Value" type="dms:Lookup" maxOccurs="unbounded" minOccurs="0" nillable="true"/>
            </xsd:sequence>
          </xsd:extension>
        </xsd:complexContent>
      </xsd:complexType>
    </xsd:element>
    <xsd:element name="TaxKeywordTaxHTField" ma:index="28" nillable="true" ma:taxonomy="true" ma:internalName="TaxKeywordTaxHTField" ma:taxonomyFieldName="TaxKeyword" ma:displayName="Enterprise Keywords" ma:fieldId="{23f27201-bee3-471e-b2e7-b64fd8b7ca38}" ma:taxonomyMulti="true" ma:sspId="e8b6643d-2f0f-4fd3-92d3-cfce2c1012d5" ma:termSetId="00000000-0000-0000-0000-000000000000" ma:anchorId="00000000-0000-0000-0000-000000000000" ma:open="true" ma:isKeyword="true">
      <xsd:complexType>
        <xsd:sequence>
          <xsd:element ref="pc:Terms" minOccurs="0" maxOccurs="1"/>
        </xsd:sequence>
      </xsd:complexType>
    </xsd:element>
    <xsd:element name="TaxCatchAllLabel" ma:index="29" nillable="true" ma:displayName="Taxonomy Catch All Column1" ma:description="" ma:hidden="true" ma:list="{2f240fa8-a68f-45a7-bef8-e0753a0b6713}" ma:internalName="TaxCatchAllLabel" ma:readOnly="true" ma:showField="CatchAllDataLabel" ma:web="3990ac94-838a-4044-947b-4e84593ac4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90ac94-838a-4044-947b-4e84593ac4db" elementFormDefault="qualified">
    <xsd:import namespace="http://schemas.microsoft.com/office/2006/documentManagement/types"/>
    <xsd:import namespace="http://schemas.microsoft.com/office/infopath/2007/PartnerControls"/>
    <xsd:element name="Responsible_x0020_DepartmentTaxHTField0" ma:index="26" nillable="true" ma:taxonomy="true" ma:internalName="Responsible_x0020_DepartmentTaxHTField00" ma:taxonomyFieldName="Responsible_x0020_Department0" ma:displayName="Responsible Department" ma:readOnly="false" ma:default="" ma:fieldId="{bd1280a9-3f07-4136-9f1b-e120f8219cda}" ma:sspId="abdc8e59-17fe-4978-b093-0da87e6cf897" ma:termSetId="c2d4d036-6947-403a-b12a-f620913641e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f55b1a-12ec-4b21-95e7-dd6488ff91fe" elementFormDefault="qualified">
    <xsd:import namespace="http://schemas.microsoft.com/office/2006/documentManagement/types"/>
    <xsd:import namespace="http://schemas.microsoft.com/office/infopath/2007/PartnerControls"/>
    <xsd:element name="PCN_x0023_" ma:index="30" nillable="true" ma:displayName="PCN#" ma:format="Dropdown" ma:internalName="PCN_x0023_">
      <xsd:simpleType>
        <xsd:union memberTypes="dms:Text">
          <xsd:simpleType>
            <xsd:restriction base="dms:Choice">
              <xsd:enumeration value="11A-11"/>
            </xsd:restriction>
          </xsd:simpleType>
        </xsd:union>
      </xsd:simpleType>
    </xsd:element>
    <xsd:element name="Meeting_x0020_Date" ma:index="31" nillable="true" ma:displayName="Meeting Date" ma:default="2011-12-13" ma:format="Dropdown" ma:internalName="Meeting_x0020_Date">
      <xsd:simpleType>
        <xsd:union memberTypes="dms:Text">
          <xsd:simpleType>
            <xsd:restriction base="dms:Choice">
              <xsd:enumeration value="2011-12-13"/>
            </xsd:restriction>
          </xsd:simpleType>
        </xsd:union>
      </xsd:simpleType>
    </xsd:element>
    <xsd:element name="PCN_x0020_Category" ma:index="32" nillable="true" ma:displayName="Category" ma:default="PCN" ma:format="Dropdown" ma:internalName="PCN_x0020_Category">
      <xsd:simpleType>
        <xsd:union memberTypes="dms:Text">
          <xsd:simpleType>
            <xsd:restriction base="dms:Choice">
              <xsd:enumeration value="ACN"/>
              <xsd:enumeration value="PCN"/>
              <xsd:enumeration value="Supporting Document"/>
              <xsd:enumeration value="PCN Request Form"/>
              <xsd:enumeration value="PIT Form"/>
              <xsd:enumeration value="Sample Support"/>
              <xsd:enumeration value="Sales Data"/>
              <xsd:enumeration value="Discon Tracking"/>
            </xsd:restriction>
          </xsd:simpleType>
        </xsd:union>
      </xsd:simpleType>
    </xsd:element>
    <xsd:element name="PIT_x0023_" ma:index="33" nillable="true" ma:displayName="PIT#" ma:format="Dropdown" ma:internalName="PIT_x0023_">
      <xsd:simpleType>
        <xsd:union memberTypes="dms:Text">
          <xsd:simpleType>
            <xsd:restriction base="dms:Choice">
              <xsd:enumeration value="06-11"/>
            </xsd:restriction>
          </xsd:simpleType>
        </xsd:union>
      </xsd:simpleType>
    </xsd:element>
    <xsd:element name="PIT_x0020_Description" ma:index="35" nillable="true" ma:displayName="PIT Description" ma:internalName="PIT_x0020_Description">
      <xsd:simpleType>
        <xsd:restriction base="dms:Text">
          <xsd:maxLength value="255"/>
        </xsd:restriction>
      </xsd:simpleType>
    </xsd:element>
    <xsd:element name="Status" ma:index="37" nillable="true" ma:displayName="Status" ma:format="Dropdown" ma:internalName="Status">
      <xsd:simpleType>
        <xsd:restriction base="dms:Choice">
          <xsd:enumeration value="Early Stage"/>
          <xsd:enumeration value="Pending"/>
          <xsd:enumeration value="Launched"/>
          <xsd:enumeration value="Closed"/>
          <xsd:enumeration value="Cancelled"/>
        </xsd:restriction>
      </xsd:simpleType>
    </xsd:element>
    <xsd:element name="PCN_x0020_Category0" ma:index="39" nillable="true" ma:displayName="PCN Category" ma:format="Dropdown" ma:internalName="PCN_x0020_Category0">
      <xsd:simpleType>
        <xsd:restriction base="dms:Choice">
          <xsd:enumeration value="Discontinuance"/>
          <xsd:enumeration value="AQMS"/>
          <xsd:enumeration value="AQAS"/>
          <xsd:enumeration value="Datasheet Change"/>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99ac604-719e-4f6a-941d-e145b3c95617">D5CZYVWKPRSV-1773-609</_dlc_DocId>
    <_dlc_DocIdUrl xmlns="099ac604-719e-4f6a-941d-e145b3c95617">
      <Url>http://hub.latticesemi.com/collaboration/committees/PitCrew/_layouts/DocIdRedir.aspx?ID=D5CZYVWKPRSV-1773-609</Url>
      <Description>D5CZYVWKPRSV-1773-609</Description>
    </_dlc_DocIdUrl>
    <PCN_x0020_Category0 xmlns="72f55b1a-12ec-4b21-95e7-dd6488ff91fe">Discontinuance</PCN_x0020_Category0>
    <DLPTaxHTField0 xmlns="099ac604-719e-4f6a-941d-e145b3c95617">
      <Terms xmlns="http://schemas.microsoft.com/office/infopath/2007/PartnerControls">
        <TermInfo xmlns="http://schemas.microsoft.com/office/infopath/2007/PartnerControls">
          <TermName xmlns="http://schemas.microsoft.com/office/infopath/2007/PartnerControls">Green</TermName>
          <TermId xmlns="http://schemas.microsoft.com/office/infopath/2007/PartnerControls">f5f65e25-8349-45a6-b3a5-dd987efad42d</TermId>
        </TermInfo>
      </Terms>
    </DLPTaxHTField0>
    <Status xmlns="72f55b1a-12ec-4b21-95e7-dd6488ff91fe" xsi:nil="true"/>
    <TaxCatchAll xmlns="099ac604-719e-4f6a-941d-e145b3c95617">
      <Value>43</Value>
      <Value>42</Value>
      <Value>40</Value>
      <Value>39</Value>
      <Value>38</Value>
      <Value>55</Value>
    </TaxCatchAll>
    <Meeting_x0020_Date xmlns="72f55b1a-12ec-4b21-95e7-dd6488ff91fe">2011-12-13</Meeting_x0020_Date>
    <TaxKeywordTaxHTField xmlns="099ac604-719e-4f6a-941d-e145b3c95617">
      <Terms xmlns="http://schemas.microsoft.com/office/infopath/2007/PartnerControls"/>
    </TaxKeywordTaxHTField>
    <PIT_x0023_ xmlns="72f55b1a-12ec-4b21-95e7-dd6488ff91fe">04-15</PIT_x0023_>
    <Control_x0020_CategoryTaxHTField0 xmlns="099ac604-719e-4f6a-941d-e145b3c95617">
      <Terms xmlns="http://schemas.microsoft.com/office/infopath/2007/PartnerControls">
        <TermInfo xmlns="http://schemas.microsoft.com/office/infopath/2007/PartnerControls">
          <TermName xmlns="http://schemas.microsoft.com/office/infopath/2007/PartnerControls">Freeform</TermName>
          <TermId xmlns="http://schemas.microsoft.com/office/infopath/2007/PartnerControls">4bbb72d9-92e3-4b10-922f-52e41b1a8860</TermId>
        </TermInfo>
      </Terms>
    </Control_x0020_CategoryTaxHTField0>
    <Doc_x0020_Author xmlns="099ac604-719e-4f6a-941d-e145b3c95617">Steve Stark</Doc_x0020_Author>
    <Doc_x0020_SourceTaxHTField0 xmlns="099ac604-719e-4f6a-941d-e145b3c95617">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eb1caaff-0c16-4357-bf62-2771783a4bb0</TermId>
        </TermInfo>
      </Terms>
    </Doc_x0020_SourceTaxHTField0>
    <PIT_x0020_Description xmlns="72f55b1a-12ec-4b21-95e7-dd6488ff91fe">SnPb DBNs and Select Product Family Discontinuance</PIT_x0020_Description>
    <Responsible_x0020_DepartmentTaxHTField0 xmlns="3990ac94-838a-4044-947b-4e84593ac4db">
      <Terms xmlns="http://schemas.microsoft.com/office/infopath/2007/PartnerControls"/>
    </Responsible_x0020_DepartmentTaxHTField0>
    <PCN_x0020_Category xmlns="72f55b1a-12ec-4b21-95e7-dd6488ff91fe">PCN</PCN_x0020_Category>
    <Doc_x0020_LanguageTaxHTField0 xmlns="099ac604-719e-4f6a-941d-e145b3c95617">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b3f6ed75-81de-4806-bb4e-9cca516df0b0</TermId>
        </TermInfo>
      </Terms>
    </Doc_x0020_LanguageTaxHTField0>
    <Primary_x0020_AudienceTaxHTField0 xmlns="099ac604-719e-4f6a-941d-e145b3c95617">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b6a0e0c5-d188-4032-bb54-73009b286b96</TermId>
        </TermInfo>
      </Terms>
    </Primary_x0020_AudienceTaxHTField0>
    <PCN_x0023_ xmlns="72f55b1a-12ec-4b21-95e7-dd6488ff91fe">02A-15</PCN_x0023_>
    <SecurityTaxHTField0 xmlns="099ac604-719e-4f6a-941d-e145b3c95617">
      <Terms xmlns="http://schemas.microsoft.com/office/infopath/2007/PartnerControls">
        <TermInfo xmlns="http://schemas.microsoft.com/office/infopath/2007/PartnerControls">
          <TermName xmlns="http://schemas.microsoft.com/office/infopath/2007/PartnerControls">Company Confidential</TermName>
          <TermId xmlns="http://schemas.microsoft.com/office/infopath/2007/PartnerControls">c28c6c75-aae0-4edc-9cc2-00c0745aadbc</TermId>
        </TermInfo>
      </Terms>
    </SecurityTaxHTField0>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DCF3D-264B-4338-868C-DBF7853A1065}"/>
</file>

<file path=customXml/itemProps2.xml><?xml version="1.0" encoding="utf-8"?>
<ds:datastoreItem xmlns:ds="http://schemas.openxmlformats.org/officeDocument/2006/customXml" ds:itemID="{D74604B1-3781-4938-8DE3-4F4051321500}"/>
</file>

<file path=customXml/itemProps3.xml><?xml version="1.0" encoding="utf-8"?>
<ds:datastoreItem xmlns:ds="http://schemas.openxmlformats.org/officeDocument/2006/customXml" ds:itemID="{C99D1895-A9E1-499E-B92F-EC8D41B07E47}"/>
</file>

<file path=customXml/itemProps4.xml><?xml version="1.0" encoding="utf-8"?>
<ds:datastoreItem xmlns:ds="http://schemas.openxmlformats.org/officeDocument/2006/customXml" ds:itemID="{E4F0063B-22AB-4148-8F8C-D48A15F56F38}"/>
</file>

<file path=customXml/itemProps5.xml><?xml version="1.0" encoding="utf-8"?>
<ds:datastoreItem xmlns:ds="http://schemas.openxmlformats.org/officeDocument/2006/customXml" ds:itemID="{5E2E8537-F912-41D2-8225-6F7A8B4891C9}"/>
</file>

<file path=customXml/itemProps6.xml><?xml version="1.0" encoding="utf-8"?>
<ds:datastoreItem xmlns:ds="http://schemas.openxmlformats.org/officeDocument/2006/customXml" ds:itemID="{3AB35825-61DB-4A3E-9ED6-A2C26D976233}"/>
</file>

<file path=docProps/app.xml><?xml version="1.0" encoding="utf-8"?>
<Properties xmlns="http://schemas.openxmlformats.org/officeDocument/2006/extended-properties" xmlns:vt="http://schemas.openxmlformats.org/officeDocument/2006/docPropsVTypes">
  <Template>Normal</Template>
  <TotalTime>361</TotalTime>
  <Pages>3</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PCN 02A-15 - Frequently Asked Questions Rev2</vt:lpstr>
    </vt:vector>
  </TitlesOfParts>
  <Company>Latitce Semiconductor Corp.</Company>
  <LinksUpToDate>false</LinksUpToDate>
  <CharactersWithSpaces>9179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PCN 02A-15 - Frequently Asked Questions Rev2</dc:title>
  <dc:creator>Lou McKellar</dc:creator>
  <cp:keywords/>
  <cp:lastModifiedBy>Steve Stark</cp:lastModifiedBy>
  <cp:revision>31</cp:revision>
  <cp:lastPrinted>2015-06-12T19:42:00Z</cp:lastPrinted>
  <dcterms:created xsi:type="dcterms:W3CDTF">2015-06-02T19:56:00Z</dcterms:created>
  <dcterms:modified xsi:type="dcterms:W3CDTF">2015-06-18T00:55:00Z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0x010100CDE73FDA8585FF43853E5AF29E4EE99100D0B35D41B89E7C4D9D86FB0FB999EFAF</vt:lpwstr>
  </property>
  <property fmtid="{D5CDD505-2E9C-101B-9397-08002B2CF9AE}" pid="3" name="_dlc_DocIdItemGuid">
    <vt:lpwstr>2677bb13-ec48-4c73-a66b-772ef33d09ee</vt:lpwstr>
  </property>
  <property fmtid="{D5CDD505-2E9C-101B-9397-08002B2CF9AE}" pid="4" name="DLP">
    <vt:lpwstr>40;#Green|f5f65e25-8349-45a6-b3a5-dd987efad42d</vt:lpwstr>
  </property>
  <property fmtid="{D5CDD505-2E9C-101B-9397-08002B2CF9AE}" pid="5" name="TaxKeyword">
    <vt:lpwstr/>
  </property>
  <property fmtid="{D5CDD505-2E9C-101B-9397-08002B2CF9AE}" pid="6" name="Security">
    <vt:lpwstr>42;#Company Confidential|c28c6c75-aae0-4edc-9cc2-00c0745aadbc</vt:lpwstr>
  </property>
  <property fmtid="{D5CDD505-2E9C-101B-9397-08002B2CF9AE}" pid="7" name="Primary Audience">
    <vt:lpwstr>38;#Internal|b6a0e0c5-d188-4032-bb54-73009b286b96</vt:lpwstr>
  </property>
  <property fmtid="{D5CDD505-2E9C-101B-9397-08002B2CF9AE}" pid="8" name="Doc Source">
    <vt:lpwstr>39;#Internal|eb1caaff-0c16-4357-bf62-2771783a4bb0</vt:lpwstr>
  </property>
  <property fmtid="{D5CDD505-2E9C-101B-9397-08002B2CF9AE}" pid="9" name="Doc Language">
    <vt:lpwstr>43;#English|b3f6ed75-81de-4806-bb4e-9cca516df0b0</vt:lpwstr>
  </property>
  <property fmtid="{D5CDD505-2E9C-101B-9397-08002B2CF9AE}" pid="10" name="Control Category">
    <vt:lpwstr>55;#Freeform|4bbb72d9-92e3-4b10-922f-52e41b1a8860</vt:lpwstr>
  </property>
</Properties>
</file>